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SEC Form 3</w:t>
            </w:r>
          </w:p>
        </w:tc>
        <w:tc>
          <w:tcPr>
            <w:tcW w:w="6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20" w:type="dxa"/>
            <w:vAlign w:val="bottom"/>
          </w:tcPr>
          <w:p>
            <w:pPr>
              <w:ind w:left="700"/>
              <w:spacing w:after="0" w:line="232" w:lineRule="exact"/>
              <w:rPr>
                <w:sz w:val="20"/>
                <w:szCs w:val="20"/>
                <w:color w:val="auto"/>
              </w:rPr>
            </w:pPr>
            <w:r>
              <w:rPr>
                <w:rFonts w:ascii="Arial" w:cs="Arial" w:eastAsia="Arial" w:hAnsi="Arial"/>
                <w:sz w:val="21"/>
                <w:szCs w:val="21"/>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18"/>
                <w:szCs w:val="18"/>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20" w:type="dxa"/>
            <w:vAlign w:val="bottom"/>
          </w:tcPr>
          <w:p>
            <w:pPr>
              <w:spacing w:after="0" w:line="20" w:lineRule="exact"/>
              <w:rPr>
                <w:sz w:val="1"/>
                <w:szCs w:val="1"/>
                <w:color w:val="auto"/>
              </w:rPr>
            </w:pPr>
          </w:p>
        </w:tc>
        <w:tc>
          <w:tcPr>
            <w:tcW w:w="6820" w:type="dxa"/>
            <w:vAlign w:val="bottom"/>
            <w:vMerge w:val="restart"/>
          </w:tcPr>
          <w:p>
            <w:pPr>
              <w:jc w:val="center"/>
              <w:ind w:left="66"/>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20" w:type="dxa"/>
            <w:vAlign w:val="bottom"/>
          </w:tcPr>
          <w:p>
            <w:pPr>
              <w:spacing w:after="0"/>
              <w:rPr>
                <w:sz w:val="7"/>
                <w:szCs w:val="7"/>
                <w:color w:val="auto"/>
              </w:rPr>
            </w:pPr>
          </w:p>
        </w:tc>
        <w:tc>
          <w:tcPr>
            <w:tcW w:w="68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1"/>
        </w:trPr>
        <w:tc>
          <w:tcPr>
            <w:tcW w:w="202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820" w:type="dxa"/>
            <w:vAlign w:val="bottom"/>
            <w:vMerge w:val="restart"/>
          </w:tcPr>
          <w:p>
            <w:pPr>
              <w:jc w:val="center"/>
              <w:ind w:left="46"/>
              <w:spacing w:after="0" w:line="163" w:lineRule="exact"/>
              <w:rPr>
                <w:sz w:val="20"/>
                <w:szCs w:val="20"/>
                <w:color w:val="auto"/>
              </w:rPr>
            </w:pPr>
            <w:r>
              <w:rPr>
                <w:rFonts w:ascii="Arial" w:cs="Arial" w:eastAsia="Arial" w:hAnsi="Arial"/>
                <w:sz w:val="18"/>
                <w:szCs w:val="18"/>
                <w:b w:val="1"/>
                <w:bCs w:val="1"/>
                <w:color w:val="auto"/>
              </w:rPr>
              <w:t>INITIAL STATEMENT OF BENEFICIAL OWNERSHIP OF SECURITIES</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2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spacing w:after="0"/>
              <w:rPr>
                <w:sz w:val="20"/>
                <w:szCs w:val="20"/>
                <w:color w:val="auto"/>
              </w:rPr>
            </w:pPr>
            <w:r>
              <w:rPr>
                <w:rFonts w:ascii="Arial" w:cs="Arial" w:eastAsia="Arial" w:hAnsi="Arial"/>
                <w:sz w:val="10"/>
                <w:szCs w:val="10"/>
                <w:color w:val="auto"/>
              </w:rPr>
              <w:t>3235-0104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2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20" w:type="dxa"/>
            <w:vAlign w:val="bottom"/>
          </w:tcPr>
          <w:p>
            <w:pPr>
              <w:spacing w:after="0"/>
              <w:rPr>
                <w:sz w:val="13"/>
                <w:szCs w:val="13"/>
                <w:color w:val="auto"/>
              </w:rPr>
            </w:pPr>
          </w:p>
        </w:tc>
        <w:tc>
          <w:tcPr>
            <w:tcW w:w="6820" w:type="dxa"/>
            <w:vAlign w:val="bottom"/>
            <w:vMerge w:val="restart"/>
          </w:tcPr>
          <w:p>
            <w:pPr>
              <w:jc w:val="center"/>
              <w:ind w:left="6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20" w:type="dxa"/>
            <w:vAlign w:val="bottom"/>
          </w:tcPr>
          <w:p>
            <w:pPr>
              <w:spacing w:after="0"/>
              <w:rPr>
                <w:sz w:val="3"/>
                <w:szCs w:val="3"/>
                <w:color w:val="auto"/>
              </w:rPr>
            </w:pPr>
          </w:p>
        </w:tc>
        <w:tc>
          <w:tcPr>
            <w:tcW w:w="6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68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6906895</wp:posOffset>
            </wp:positionH>
            <wp:positionV relativeFrom="paragraph">
              <wp:posOffset>-555625</wp:posOffset>
            </wp:positionV>
            <wp:extent cx="54610" cy="568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610" cy="568960"/>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-555625</wp:posOffset>
            </wp:positionV>
            <wp:extent cx="54610" cy="568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689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22225</wp:posOffset>
            </wp:positionV>
            <wp:extent cx="7008495" cy="3082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8495" cy="3082290"/>
                    </a:xfrm>
                    <a:prstGeom prst="rect">
                      <a:avLst/>
                    </a:prstGeom>
                    <a:noFill/>
                  </pic:spPr>
                </pic:pic>
              </a:graphicData>
            </a:graphic>
          </wp:anchor>
        </w:drawing>
      </w:r>
    </w:p>
    <w:p>
      <w:pPr>
        <w:sectPr>
          <w:pgSz w:w="11900" w:h="16838" w:orient="portrait"/>
          <w:cols w:equalWidth="0" w:num="1">
            <w:col w:w="10980"/>
          </w:cols>
          <w:pgMar w:left="460" w:top="208" w:right="459" w:bottom="1440" w:gutter="0" w:footer="0" w:header="0"/>
        </w:sectPr>
      </w:pPr>
    </w:p>
    <w:p>
      <w:pPr>
        <w:spacing w:after="0" w:line="42" w:lineRule="exact"/>
        <w:rPr>
          <w:sz w:val="24"/>
          <w:szCs w:val="24"/>
          <w:color w:val="auto"/>
        </w:rPr>
      </w:pPr>
    </w:p>
    <w:tbl>
      <w:tblPr>
        <w:tblLayout w:type="fixed"/>
        <w:tblInd w:w="60" w:type="dxa"/>
        <w:tblCellMar>
          <w:top w:w="0" w:type="dxa"/>
          <w:left w:w="0" w:type="dxa"/>
          <w:bottom w:w="0" w:type="dxa"/>
          <w:right w:w="0" w:type="dxa"/>
        </w:tblCellMar>
      </w:tblPr>
      <w:tr>
        <w:trPr>
          <w:trHeight w:val="218"/>
        </w:trPr>
        <w:tc>
          <w:tcPr>
            <w:tcW w:w="274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9"/>
                <w:szCs w:val="19"/>
                <w:color w:val="auto"/>
                <w:vertAlign w:val="superscript"/>
              </w:rPr>
              <w:t>*</w:t>
            </w:r>
          </w:p>
        </w:tc>
        <w:tc>
          <w:tcPr>
            <w:tcW w:w="1980" w:type="dxa"/>
            <w:vAlign w:val="bottom"/>
          </w:tcPr>
          <w:p>
            <w:pPr>
              <w:ind w:left="54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3"/>
        </w:trPr>
        <w:tc>
          <w:tcPr>
            <w:tcW w:w="40" w:type="dxa"/>
            <w:vAlign w:val="bottom"/>
          </w:tcPr>
          <w:p>
            <w:pPr>
              <w:spacing w:after="0"/>
              <w:rPr>
                <w:sz w:val="8"/>
                <w:szCs w:val="8"/>
                <w:color w:val="auto"/>
              </w:rPr>
            </w:pPr>
          </w:p>
        </w:tc>
        <w:tc>
          <w:tcPr>
            <w:tcW w:w="1280" w:type="dxa"/>
            <w:vAlign w:val="bottom"/>
            <w:vMerge w:val="restart"/>
          </w:tcPr>
          <w:p>
            <w:pPr>
              <w:spacing w:after="0"/>
              <w:rPr>
                <w:rFonts w:ascii="Times New Roman" w:cs="Times New Roman" w:eastAsia="Times New Roman" w:hAnsi="Times New Roman"/>
                <w:sz w:val="18"/>
                <w:szCs w:val="18"/>
                <w:color w:val="0000EE"/>
                <w:w w:val="99"/>
              </w:rPr>
            </w:pPr>
            <w:hyperlink r:id="rId11">
              <w:r>
                <w:rPr>
                  <w:rFonts w:ascii="Times New Roman" w:cs="Times New Roman" w:eastAsia="Times New Roman" w:hAnsi="Times New Roman"/>
                  <w:sz w:val="18"/>
                  <w:szCs w:val="18"/>
                  <w:color w:val="0000EE"/>
                  <w:w w:val="99"/>
                </w:rPr>
                <w:t>MUIR GLENN P</w:t>
              </w:r>
            </w:hyperlink>
          </w:p>
        </w:tc>
        <w:tc>
          <w:tcPr>
            <w:tcW w:w="1420" w:type="dxa"/>
            <w:vAlign w:val="bottom"/>
          </w:tcPr>
          <w:p>
            <w:pPr>
              <w:spacing w:after="0"/>
              <w:rPr>
                <w:sz w:val="8"/>
                <w:szCs w:val="8"/>
                <w:color w:val="auto"/>
              </w:rPr>
            </w:pPr>
          </w:p>
        </w:tc>
        <w:tc>
          <w:tcPr>
            <w:tcW w:w="1980" w:type="dxa"/>
            <w:vAlign w:val="bottom"/>
          </w:tcPr>
          <w:p>
            <w:pPr>
              <w:ind w:left="540"/>
              <w:spacing w:after="0" w:line="103" w:lineRule="exact"/>
              <w:rPr>
                <w:sz w:val="20"/>
                <w:szCs w:val="20"/>
                <w:color w:val="auto"/>
              </w:rPr>
            </w:pPr>
            <w:r>
              <w:rPr>
                <w:rFonts w:ascii="Arial" w:cs="Arial" w:eastAsia="Arial" w:hAnsi="Arial"/>
                <w:sz w:val="11"/>
                <w:szCs w:val="11"/>
                <w:color w:val="auto"/>
              </w:rPr>
              <w:t>Statement (Month/Day/Year)</w:t>
            </w:r>
          </w:p>
        </w:tc>
        <w:tc>
          <w:tcPr>
            <w:tcW w:w="0" w:type="dxa"/>
            <w:vAlign w:val="bottom"/>
          </w:tcPr>
          <w:p>
            <w:pPr>
              <w:spacing w:after="0"/>
              <w:rPr>
                <w:sz w:val="1"/>
                <w:szCs w:val="1"/>
                <w:color w:val="auto"/>
              </w:rPr>
            </w:pPr>
          </w:p>
        </w:tc>
      </w:tr>
      <w:tr>
        <w:trPr>
          <w:trHeight w:val="130"/>
        </w:trPr>
        <w:tc>
          <w:tcPr>
            <w:tcW w:w="40" w:type="dxa"/>
            <w:vAlign w:val="bottom"/>
          </w:tcPr>
          <w:p>
            <w:pPr>
              <w:spacing w:after="0"/>
              <w:rPr>
                <w:sz w:val="10"/>
                <w:szCs w:val="10"/>
                <w:color w:val="auto"/>
              </w:rPr>
            </w:pPr>
          </w:p>
        </w:tc>
        <w:tc>
          <w:tcPr>
            <w:tcW w:w="1280" w:type="dxa"/>
            <w:vAlign w:val="bottom"/>
            <w:tcBorders>
              <w:bottom w:val="single" w:sz="8" w:color="0000EE"/>
            </w:tcBorders>
            <w:vMerge w:val="continue"/>
          </w:tcPr>
          <w:p>
            <w:pPr>
              <w:spacing w:after="0"/>
              <w:rPr>
                <w:sz w:val="10"/>
                <w:szCs w:val="10"/>
                <w:color w:val="auto"/>
              </w:rPr>
            </w:pPr>
          </w:p>
        </w:tc>
        <w:tc>
          <w:tcPr>
            <w:tcW w:w="1420" w:type="dxa"/>
            <w:vAlign w:val="bottom"/>
            <w:vMerge w:val="restart"/>
          </w:tcPr>
          <w:p>
            <w:pPr>
              <w:spacing w:after="0"/>
              <w:rPr>
                <w:sz w:val="10"/>
                <w:szCs w:val="10"/>
                <w:color w:val="auto"/>
              </w:rPr>
            </w:pPr>
          </w:p>
        </w:tc>
        <w:tc>
          <w:tcPr>
            <w:tcW w:w="1980" w:type="dxa"/>
            <w:vAlign w:val="bottom"/>
            <w:vMerge w:val="restart"/>
          </w:tcPr>
          <w:p>
            <w:pPr>
              <w:ind w:left="540"/>
              <w:spacing w:after="0"/>
              <w:rPr>
                <w:sz w:val="20"/>
                <w:szCs w:val="20"/>
                <w:color w:val="auto"/>
              </w:rPr>
            </w:pPr>
            <w:r>
              <w:rPr>
                <w:rFonts w:ascii="Times New Roman" w:cs="Times New Roman" w:eastAsia="Times New Roman" w:hAnsi="Times New Roman"/>
                <w:sz w:val="15"/>
                <w:szCs w:val="15"/>
                <w:color w:val="0000FF"/>
              </w:rPr>
              <w:t>06/10/2026</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u w:val="single" w:color="auto"/>
            <w:color w:val="0000EE"/>
          </w:rPr>
          <w:t>Cytek Biosciences,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CTKB</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276" w:lineRule="exact"/>
        <w:rPr>
          <w:sz w:val="24"/>
          <w:szCs w:val="24"/>
          <w:color w:val="auto"/>
        </w:rPr>
      </w:pPr>
    </w:p>
    <w:p>
      <w:pPr>
        <w:sectPr>
          <w:pgSz w:w="11900" w:h="16838" w:orient="portrait"/>
          <w:cols w:equalWidth="0" w:num="2">
            <w:col w:w="4780" w:space="200"/>
            <w:col w:w="6000"/>
          </w:cols>
          <w:pgMar w:left="460" w:top="208" w:right="459" w:bottom="1440" w:gutter="0" w:footer="0" w:header="0"/>
          <w:type w:val="continuous"/>
        </w:sectPr>
      </w:pPr>
    </w:p>
    <w:p>
      <w:pPr>
        <w:spacing w:after="0" w:line="57" w:lineRule="exact"/>
        <w:rPr>
          <w:sz w:val="24"/>
          <w:szCs w:val="24"/>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900" w:type="dxa"/>
            <w:vAlign w:val="bottom"/>
          </w:tcPr>
          <w:p>
            <w:pPr>
              <w:ind w:left="20"/>
              <w:spacing w:after="0"/>
              <w:rPr>
                <w:sz w:val="20"/>
                <w:szCs w:val="20"/>
                <w:color w:val="auto"/>
              </w:rPr>
            </w:pPr>
            <w:r>
              <w:rPr>
                <w:rFonts w:ascii="Arial" w:cs="Arial" w:eastAsia="Arial" w:hAnsi="Arial"/>
                <w:sz w:val="11"/>
                <w:szCs w:val="11"/>
                <w:color w:val="auto"/>
              </w:rPr>
              <w:t>(Last)</w:t>
            </w:r>
          </w:p>
        </w:tc>
        <w:tc>
          <w:tcPr>
            <w:tcW w:w="840" w:type="dxa"/>
            <w:vAlign w:val="bottom"/>
          </w:tcPr>
          <w:p>
            <w:pPr>
              <w:ind w:left="160"/>
              <w:spacing w:after="0"/>
              <w:rPr>
                <w:sz w:val="20"/>
                <w:szCs w:val="20"/>
                <w:color w:val="auto"/>
              </w:rPr>
            </w:pPr>
            <w:r>
              <w:rPr>
                <w:rFonts w:ascii="Arial" w:cs="Arial" w:eastAsia="Arial" w:hAnsi="Arial"/>
                <w:sz w:val="11"/>
                <w:szCs w:val="11"/>
                <w:color w:val="auto"/>
              </w:rPr>
              <w:t>(First)</w:t>
            </w:r>
          </w:p>
        </w:tc>
        <w:tc>
          <w:tcPr>
            <w:tcW w:w="1380" w:type="dxa"/>
            <w:vAlign w:val="bottom"/>
          </w:tcPr>
          <w:p>
            <w:pPr>
              <w:ind w:left="380"/>
              <w:spacing w:after="0"/>
              <w:rPr>
                <w:sz w:val="20"/>
                <w:szCs w:val="20"/>
                <w:color w:val="auto"/>
              </w:rPr>
            </w:pPr>
            <w:r>
              <w:rPr>
                <w:rFonts w:ascii="Arial" w:cs="Arial" w:eastAsia="Arial" w:hAnsi="Arial"/>
                <w:sz w:val="11"/>
                <w:szCs w:val="11"/>
                <w:color w:val="auto"/>
              </w:rPr>
              <w:t>(Middle)</w:t>
            </w:r>
          </w:p>
        </w:tc>
      </w:tr>
      <w:tr>
        <w:trPr>
          <w:trHeight w:val="236"/>
        </w:trPr>
        <w:tc>
          <w:tcPr>
            <w:tcW w:w="20" w:type="dxa"/>
            <w:vAlign w:val="bottom"/>
          </w:tcPr>
          <w:p>
            <w:pPr>
              <w:spacing w:after="0"/>
              <w:rPr>
                <w:sz w:val="20"/>
                <w:szCs w:val="20"/>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C/O CYTEK BIOSCIENCES, INC.</w:t>
            </w:r>
          </w:p>
        </w:tc>
      </w:tr>
      <w:tr>
        <w:trPr>
          <w:trHeight w:val="228"/>
        </w:trPr>
        <w:tc>
          <w:tcPr>
            <w:tcW w:w="20" w:type="dxa"/>
            <w:vAlign w:val="bottom"/>
          </w:tcPr>
          <w:p>
            <w:pPr>
              <w:spacing w:after="0"/>
              <w:rPr>
                <w:sz w:val="19"/>
                <w:szCs w:val="19"/>
                <w:color w:val="auto"/>
              </w:rPr>
            </w:pP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47215 LAKEVIEW BOULEVARD</w:t>
            </w:r>
          </w:p>
        </w:tc>
      </w:tr>
      <w:tr>
        <w:trPr>
          <w:trHeight w:val="130"/>
        </w:trPr>
        <w:tc>
          <w:tcPr>
            <w:tcW w:w="20" w:type="dxa"/>
            <w:vAlign w:val="bottom"/>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80" w:type="dxa"/>
            <w:vAlign w:val="bottom"/>
            <w:tcBorders>
              <w:bottom w:val="single" w:sz="8" w:color="9A9A9A"/>
            </w:tcBorders>
          </w:tcPr>
          <w:p>
            <w:pPr>
              <w:spacing w:after="0"/>
              <w:rPr>
                <w:sz w:val="11"/>
                <w:szCs w:val="11"/>
                <w:color w:val="auto"/>
              </w:rPr>
            </w:pPr>
          </w:p>
        </w:tc>
      </w:tr>
      <w:tr>
        <w:trPr>
          <w:trHeight w:val="230"/>
        </w:trPr>
        <w:tc>
          <w:tcPr>
            <w:tcW w:w="920" w:type="dxa"/>
            <w:vAlign w:val="bottom"/>
            <w:gridSpan w:val="2"/>
          </w:tcPr>
          <w:p>
            <w:pPr>
              <w:spacing w:after="0"/>
              <w:rPr>
                <w:sz w:val="20"/>
                <w:szCs w:val="20"/>
                <w:color w:val="auto"/>
              </w:rPr>
            </w:pPr>
            <w:r>
              <w:rPr>
                <w:rFonts w:ascii="Arial" w:cs="Arial" w:eastAsia="Arial" w:hAnsi="Arial"/>
                <w:sz w:val="11"/>
                <w:szCs w:val="11"/>
                <w:color w:val="auto"/>
              </w:rPr>
              <w:t>(Street)</w:t>
            </w: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FREMONT</w:t>
            </w:r>
          </w:p>
        </w:tc>
        <w:tc>
          <w:tcPr>
            <w:tcW w:w="840" w:type="dxa"/>
            <w:vAlign w:val="bottom"/>
          </w:tcPr>
          <w:p>
            <w:pPr>
              <w:ind w:left="160"/>
              <w:spacing w:after="0"/>
              <w:rPr>
                <w:sz w:val="20"/>
                <w:szCs w:val="20"/>
                <w:color w:val="auto"/>
              </w:rPr>
            </w:pPr>
            <w:r>
              <w:rPr>
                <w:rFonts w:ascii="Times New Roman" w:cs="Times New Roman" w:eastAsia="Times New Roman" w:hAnsi="Times New Roman"/>
                <w:sz w:val="15"/>
                <w:szCs w:val="15"/>
                <w:color w:val="0000FF"/>
              </w:rPr>
              <w:t>CA</w:t>
            </w:r>
          </w:p>
        </w:tc>
        <w:tc>
          <w:tcPr>
            <w:tcW w:w="138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94538</w:t>
            </w:r>
          </w:p>
        </w:tc>
      </w:tr>
    </w:tbl>
    <w:p>
      <w:pPr>
        <w:spacing w:after="0" w:line="20" w:lineRule="exact"/>
        <w:rPr>
          <w:sz w:val="24"/>
          <w:szCs w:val="24"/>
          <w:color w:val="auto"/>
        </w:rPr>
      </w:pPr>
      <w:r>
        <w:rPr>
          <w:sz w:val="24"/>
          <w:szCs w:val="24"/>
          <w:color w:val="auto"/>
        </w:rPr>
        <w:br w:type="column"/>
      </w:r>
    </w:p>
    <w:p>
      <w:pPr>
        <w:ind w:left="-8" w:right="400" w:firstLine="8"/>
        <w:spacing w:after="0" w:line="281" w:lineRule="auto"/>
        <w:tabs>
          <w:tab w:leader="none" w:pos="119"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2" w:lineRule="exact"/>
        <w:rPr>
          <w:sz w:val="24"/>
          <w:szCs w:val="24"/>
          <w:color w:val="auto"/>
        </w:rPr>
      </w:pPr>
    </w:p>
    <w:p>
      <w:pPr>
        <w:ind w:left="532"/>
        <w:spacing w:after="0"/>
        <w:tabs>
          <w:tab w:leader="none" w:pos="2072"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1"/>
          <w:szCs w:val="11"/>
          <w:color w:val="auto"/>
        </w:rPr>
        <w:t>10% Owner</w:t>
      </w:r>
    </w:p>
    <w:p>
      <w:pPr>
        <w:spacing w:after="0" w:line="67" w:lineRule="exact"/>
        <w:rPr>
          <w:sz w:val="24"/>
          <w:szCs w:val="24"/>
          <w:color w:val="auto"/>
        </w:rPr>
      </w:pPr>
    </w:p>
    <w:p>
      <w:pPr>
        <w:jc w:val="right"/>
        <w:spacing w:after="0"/>
        <w:tabs>
          <w:tab w:leader="none" w:pos="70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spacing w:after="0" w:line="9" w:lineRule="exact"/>
        <w:rPr>
          <w:sz w:val="24"/>
          <w:szCs w:val="24"/>
          <w:color w:val="auto"/>
        </w:rPr>
      </w:pPr>
    </w:p>
    <w:p>
      <w:pPr>
        <w:ind w:left="532"/>
        <w:spacing w:after="0"/>
        <w:tabs>
          <w:tab w:leader="none" w:pos="2072"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20" w:lineRule="exact"/>
        <w:rPr>
          <w:sz w:val="24"/>
          <w:szCs w:val="24"/>
          <w:color w:val="auto"/>
        </w:rPr>
      </w:pPr>
      <w:r>
        <w:rPr>
          <w:sz w:val="24"/>
          <w:szCs w:val="24"/>
          <w:color w:val="auto"/>
        </w:rPr>
        <w:br w:type="column"/>
      </w:r>
    </w:p>
    <w:p>
      <w:pPr>
        <w:ind w:left="6" w:right="740" w:hanging="6"/>
        <w:spacing w:after="0" w:line="281" w:lineRule="auto"/>
        <w:tabs>
          <w:tab w:leader="none" w:pos="133" w:val="left"/>
        </w:tabs>
        <w:numPr>
          <w:ilvl w:val="0"/>
          <w:numId w:val="2"/>
        </w:numPr>
        <w:rPr>
          <w:rFonts w:ascii="Arial" w:cs="Arial" w:eastAsia="Arial" w:hAnsi="Arial"/>
          <w:sz w:val="11"/>
          <w:szCs w:val="11"/>
          <w:color w:val="auto"/>
        </w:rPr>
      </w:pPr>
      <w:r>
        <w:rPr>
          <w:rFonts w:ascii="Arial" w:cs="Arial" w:eastAsia="Arial" w:hAnsi="Arial"/>
          <w:sz w:val="11"/>
          <w:szCs w:val="11"/>
          <w:color w:val="auto"/>
        </w:rPr>
        <w:t>If Amendment, Date of Original Filed (Month/Day/Year)</w:t>
      </w:r>
    </w:p>
    <w:p>
      <w:pPr>
        <w:spacing w:after="0" w:line="217" w:lineRule="exact"/>
        <w:rPr>
          <w:rFonts w:ascii="Arial" w:cs="Arial" w:eastAsia="Arial" w:hAnsi="Arial"/>
          <w:sz w:val="11"/>
          <w:szCs w:val="11"/>
          <w:color w:val="auto"/>
        </w:rPr>
      </w:pPr>
    </w:p>
    <w:p>
      <w:pPr>
        <w:ind w:left="6" w:right="80" w:hanging="6"/>
        <w:spacing w:after="0" w:line="281" w:lineRule="auto"/>
        <w:tabs>
          <w:tab w:leader="none" w:pos="133" w:val="left"/>
        </w:tabs>
        <w:numPr>
          <w:ilvl w:val="0"/>
          <w:numId w:val="2"/>
        </w:numPr>
        <w:rPr>
          <w:rFonts w:ascii="Arial" w:cs="Arial" w:eastAsia="Arial" w:hAnsi="Arial"/>
          <w:sz w:val="11"/>
          <w:szCs w:val="11"/>
          <w:color w:val="auto"/>
        </w:rPr>
      </w:pPr>
      <w:r>
        <w:rPr>
          <w:rFonts w:ascii="Arial" w:cs="Arial" w:eastAsia="Arial" w:hAnsi="Arial"/>
          <w:sz w:val="11"/>
          <w:szCs w:val="11"/>
          <w:color w:val="auto"/>
        </w:rPr>
        <w:t>Individual or Joint/Group Filing (Check Applicable Line)</w:t>
      </w:r>
    </w:p>
    <w:p>
      <w:pPr>
        <w:spacing w:after="0" w:line="12" w:lineRule="exact"/>
        <w:rPr>
          <w:sz w:val="24"/>
          <w:szCs w:val="24"/>
          <w:color w:val="auto"/>
        </w:rPr>
      </w:pPr>
    </w:p>
    <w:p>
      <w:pPr>
        <w:ind w:left="446"/>
        <w:spacing w:after="0"/>
        <w:rPr>
          <w:sz w:val="20"/>
          <w:szCs w:val="20"/>
          <w:color w:val="auto"/>
        </w:rPr>
      </w:pPr>
      <w:r>
        <w:rPr>
          <w:rFonts w:ascii="Arial" w:cs="Arial" w:eastAsia="Arial" w:hAnsi="Arial"/>
          <w:sz w:val="11"/>
          <w:szCs w:val="11"/>
          <w:color w:val="auto"/>
        </w:rPr>
        <w:t>Form filed by One Reporting Person</w:t>
      </w:r>
    </w:p>
    <w:p>
      <w:pPr>
        <w:spacing w:after="0" w:line="67" w:lineRule="exact"/>
        <w:rPr>
          <w:sz w:val="24"/>
          <w:szCs w:val="24"/>
          <w:color w:val="auto"/>
        </w:rPr>
      </w:pPr>
    </w:p>
    <w:p>
      <w:pPr>
        <w:ind w:left="446" w:right="280"/>
        <w:spacing w:after="0" w:line="281" w:lineRule="auto"/>
        <w:rPr>
          <w:sz w:val="20"/>
          <w:szCs w:val="20"/>
          <w:color w:val="auto"/>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268" w:space="720"/>
            <w:col w:w="2812" w:space="474"/>
            <w:col w:w="2706"/>
          </w:cols>
          <w:pgMar w:left="460" w:top="208" w:right="459" w:bottom="1440" w:gutter="0" w:footer="0" w:header="0"/>
          <w:type w:val="continuous"/>
        </w:sectPr>
      </w:pPr>
    </w:p>
    <w:p>
      <w:pPr>
        <w:spacing w:after="0" w:line="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 - Non-Derivative Securities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20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3720" w:type="dxa"/>
            <w:vAlign w:val="bottom"/>
          </w:tcPr>
          <w:p>
            <w:pPr>
              <w:ind w:left="1700"/>
              <w:spacing w:after="0"/>
              <w:rPr>
                <w:sz w:val="20"/>
                <w:szCs w:val="20"/>
                <w:color w:val="auto"/>
              </w:rPr>
            </w:pPr>
            <w:r>
              <w:rPr>
                <w:rFonts w:ascii="Arial" w:cs="Arial" w:eastAsia="Arial" w:hAnsi="Arial"/>
                <w:sz w:val="11"/>
                <w:szCs w:val="11"/>
                <w:b w:val="1"/>
                <w:bCs w:val="1"/>
                <w:color w:val="auto"/>
              </w:rPr>
              <w:t>2. Amount of Securities Beneficially</w:t>
            </w:r>
          </w:p>
        </w:tc>
        <w:tc>
          <w:tcPr>
            <w:tcW w:w="1200" w:type="dxa"/>
            <w:vAlign w:val="bottom"/>
          </w:tcPr>
          <w:p>
            <w:pPr>
              <w:ind w:left="60"/>
              <w:spacing w:after="0"/>
              <w:rPr>
                <w:sz w:val="20"/>
                <w:szCs w:val="20"/>
                <w:color w:val="auto"/>
              </w:rPr>
            </w:pPr>
            <w:r>
              <w:rPr>
                <w:rFonts w:ascii="Arial" w:cs="Arial" w:eastAsia="Arial" w:hAnsi="Arial"/>
                <w:sz w:val="11"/>
                <w:szCs w:val="11"/>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1"/>
                <w:szCs w:val="11"/>
                <w:b w:val="1"/>
                <w:bCs w:val="1"/>
                <w:color w:val="auto"/>
              </w:rPr>
              <w:t>4. Nature of Indirect Beneficial Ownership (Instr.</w:t>
            </w:r>
          </w:p>
        </w:tc>
      </w:tr>
      <w:tr>
        <w:trPr>
          <w:trHeight w:val="125"/>
        </w:trPr>
        <w:tc>
          <w:tcPr>
            <w:tcW w:w="3200" w:type="dxa"/>
            <w:vAlign w:val="bottom"/>
          </w:tcPr>
          <w:p>
            <w:pPr>
              <w:spacing w:after="0"/>
              <w:rPr>
                <w:sz w:val="10"/>
                <w:szCs w:val="10"/>
                <w:color w:val="auto"/>
              </w:rPr>
            </w:pPr>
          </w:p>
        </w:tc>
        <w:tc>
          <w:tcPr>
            <w:tcW w:w="3720" w:type="dxa"/>
            <w:vAlign w:val="bottom"/>
          </w:tcPr>
          <w:p>
            <w:pPr>
              <w:ind w:left="1700"/>
              <w:spacing w:after="0"/>
              <w:rPr>
                <w:sz w:val="20"/>
                <w:szCs w:val="20"/>
                <w:color w:val="auto"/>
              </w:rPr>
            </w:pPr>
            <w:r>
              <w:rPr>
                <w:rFonts w:ascii="Arial" w:cs="Arial" w:eastAsia="Arial" w:hAnsi="Arial"/>
                <w:sz w:val="11"/>
                <w:szCs w:val="11"/>
                <w:b w:val="1"/>
                <w:bCs w:val="1"/>
                <w:color w:val="auto"/>
              </w:rPr>
              <w:t>Owned (Instr. 4)</w:t>
            </w:r>
          </w:p>
        </w:tc>
        <w:tc>
          <w:tcPr>
            <w:tcW w:w="1200" w:type="dxa"/>
            <w:vAlign w:val="bottom"/>
          </w:tcPr>
          <w:p>
            <w:pPr>
              <w:ind w:left="60"/>
              <w:spacing w:after="0"/>
              <w:rPr>
                <w:sz w:val="20"/>
                <w:szCs w:val="20"/>
                <w:color w:val="auto"/>
              </w:rPr>
            </w:pPr>
            <w:r>
              <w:rPr>
                <w:rFonts w:ascii="Arial" w:cs="Arial" w:eastAsia="Arial" w:hAnsi="Arial"/>
                <w:sz w:val="11"/>
                <w:szCs w:val="11"/>
                <w:b w:val="1"/>
                <w:bCs w:val="1"/>
                <w:color w:val="auto"/>
              </w:rPr>
              <w:t>Direct (D) or</w:t>
            </w:r>
          </w:p>
        </w:tc>
        <w:tc>
          <w:tcPr>
            <w:tcW w:w="2860" w:type="dxa"/>
            <w:vAlign w:val="bottom"/>
          </w:tcPr>
          <w:p>
            <w:pPr>
              <w:ind w:left="60"/>
              <w:spacing w:after="0"/>
              <w:rPr>
                <w:sz w:val="20"/>
                <w:szCs w:val="20"/>
                <w:color w:val="auto"/>
              </w:rPr>
            </w:pPr>
            <w:r>
              <w:rPr>
                <w:rFonts w:ascii="Arial" w:cs="Arial" w:eastAsia="Arial" w:hAnsi="Arial"/>
                <w:sz w:val="11"/>
                <w:szCs w:val="11"/>
                <w:b w:val="1"/>
                <w:bCs w:val="1"/>
                <w:color w:val="auto"/>
              </w:rPr>
              <w:t>5)</w:t>
            </w:r>
          </w:p>
        </w:tc>
      </w:tr>
      <w:tr>
        <w:trPr>
          <w:trHeight w:val="155"/>
        </w:trPr>
        <w:tc>
          <w:tcPr>
            <w:tcW w:w="320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200" w:type="dxa"/>
            <w:vAlign w:val="bottom"/>
          </w:tcPr>
          <w:p>
            <w:pPr>
              <w:ind w:left="60"/>
              <w:spacing w:after="0"/>
              <w:rPr>
                <w:sz w:val="20"/>
                <w:szCs w:val="20"/>
                <w:color w:val="auto"/>
              </w:rPr>
            </w:pPr>
            <w:r>
              <w:rPr>
                <w:rFonts w:ascii="Arial" w:cs="Arial" w:eastAsia="Arial" w:hAnsi="Arial"/>
                <w:sz w:val="11"/>
                <w:szCs w:val="11"/>
                <w:b w:val="1"/>
                <w:bCs w:val="1"/>
                <w:color w:val="auto"/>
              </w:rPr>
              <w:t>Indirect (I) (Instr. 5)</w:t>
            </w:r>
          </w:p>
        </w:tc>
        <w:tc>
          <w:tcPr>
            <w:tcW w:w="2860" w:type="dxa"/>
            <w:vAlign w:val="bottom"/>
          </w:tcPr>
          <w:p>
            <w:pPr>
              <w:spacing w:after="0"/>
              <w:rPr>
                <w:sz w:val="13"/>
                <w:szCs w:val="13"/>
                <w:color w:val="auto"/>
              </w:rPr>
            </w:pPr>
          </w:p>
        </w:tc>
      </w:tr>
      <w:tr>
        <w:trPr>
          <w:trHeight w:val="69"/>
        </w:trPr>
        <w:tc>
          <w:tcPr>
            <w:tcW w:w="3200" w:type="dxa"/>
            <w:vAlign w:val="bottom"/>
            <w:tcBorders>
              <w:bottom w:val="single" w:sz="8" w:color="2C2C2C"/>
            </w:tcBorders>
          </w:tcPr>
          <w:p>
            <w:pPr>
              <w:spacing w:after="0"/>
              <w:rPr>
                <w:sz w:val="6"/>
                <w:szCs w:val="6"/>
                <w:color w:val="auto"/>
              </w:rPr>
            </w:pPr>
          </w:p>
        </w:tc>
        <w:tc>
          <w:tcPr>
            <w:tcW w:w="372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5. Ownership</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6. Nature of Indirect</w:t>
            </w: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2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 (Instr. 4)</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Form: Direct</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14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5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860" w:type="dxa"/>
            <w:vAlign w:val="bottom"/>
            <w:gridSpan w:val="3"/>
          </w:tcPr>
          <w:p>
            <w:pPr>
              <w:ind w:left="60"/>
              <w:spacing w:after="0"/>
              <w:rPr>
                <w:sz w:val="20"/>
                <w:szCs w:val="20"/>
                <w:color w:val="auto"/>
              </w:rPr>
            </w:pPr>
            <w:r>
              <w:rPr>
                <w:rFonts w:ascii="Arial" w:cs="Arial" w:eastAsia="Arial" w:hAnsi="Arial"/>
                <w:sz w:val="11"/>
                <w:szCs w:val="11"/>
                <w:b w:val="1"/>
                <w:bCs w:val="1"/>
                <w:color w:val="auto"/>
              </w:rPr>
              <w:t>(D) or Indirect</w:t>
            </w:r>
          </w:p>
        </w:tc>
        <w:tc>
          <w:tcPr>
            <w:tcW w:w="16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0" w:type="dxa"/>
            <w:vAlign w:val="bottom"/>
          </w:tcPr>
          <w:p>
            <w:pPr>
              <w:spacing w:after="0"/>
              <w:rPr>
                <w:sz w:val="1"/>
                <w:szCs w:val="1"/>
                <w:color w:val="auto"/>
              </w:rPr>
            </w:pPr>
          </w:p>
        </w:tc>
      </w:tr>
      <w:tr>
        <w:trPr>
          <w:trHeight w:val="59"/>
        </w:trPr>
        <w:tc>
          <w:tcPr>
            <w:tcW w:w="36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Price of</w:t>
            </w:r>
          </w:p>
        </w:tc>
        <w:tc>
          <w:tcPr>
            <w:tcW w:w="86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 (Instr. 5)</w:t>
            </w: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3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60" w:type="dxa"/>
            <w:vAlign w:val="bottom"/>
            <w:vMerge w:val="restart"/>
          </w:tcPr>
          <w:p>
            <w:pPr>
              <w:ind w:left="560"/>
              <w:spacing w:after="0"/>
              <w:rPr>
                <w:sz w:val="20"/>
                <w:szCs w:val="20"/>
                <w:color w:val="auto"/>
              </w:rPr>
            </w:pPr>
            <w:r>
              <w:rPr>
                <w:rFonts w:ascii="Arial" w:cs="Arial" w:eastAsia="Arial" w:hAnsi="Arial"/>
                <w:sz w:val="11"/>
                <w:szCs w:val="11"/>
                <w:b w:val="1"/>
                <w:bCs w:val="1"/>
                <w:color w:val="auto"/>
              </w:rPr>
              <w:t>Amount</w:t>
            </w:r>
          </w:p>
        </w:tc>
        <w:tc>
          <w:tcPr>
            <w:tcW w:w="760" w:type="dxa"/>
            <w:vAlign w:val="bottom"/>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3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760" w:type="dxa"/>
            <w:vAlign w:val="bottom"/>
          </w:tcPr>
          <w:p>
            <w:pPr>
              <w:ind w:left="60"/>
              <w:spacing w:after="0" w:line="114" w:lineRule="exact"/>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1560" w:type="dxa"/>
            <w:vAlign w:val="bottom"/>
          </w:tcPr>
          <w:p>
            <w:pPr>
              <w:spacing w:after="0"/>
              <w:rPr>
                <w:sz w:val="10"/>
                <w:szCs w:val="10"/>
                <w:color w:val="auto"/>
              </w:rPr>
            </w:pPr>
          </w:p>
        </w:tc>
        <w:tc>
          <w:tcPr>
            <w:tcW w:w="1160" w:type="dxa"/>
            <w:vAlign w:val="bottom"/>
          </w:tcPr>
          <w:p>
            <w:pPr>
              <w:ind w:left="560"/>
              <w:spacing w:after="0"/>
              <w:rPr>
                <w:sz w:val="20"/>
                <w:szCs w:val="20"/>
                <w:color w:val="auto"/>
              </w:rPr>
            </w:pPr>
            <w:r>
              <w:rPr>
                <w:rFonts w:ascii="Arial" w:cs="Arial" w:eastAsia="Arial" w:hAnsi="Arial"/>
                <w:sz w:val="11"/>
                <w:szCs w:val="11"/>
                <w:b w:val="1"/>
                <w:bCs w:val="1"/>
                <w:color w:val="auto"/>
              </w:rPr>
              <w:t>or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1160" w:type="dxa"/>
            <w:vAlign w:val="bottom"/>
          </w:tcPr>
          <w:p>
            <w:pPr>
              <w:ind w:left="560"/>
              <w:spacing w:after="0"/>
              <w:rPr>
                <w:sz w:val="20"/>
                <w:szCs w:val="20"/>
                <w:color w:val="auto"/>
              </w:rPr>
            </w:pPr>
            <w:r>
              <w:rPr>
                <w:rFonts w:ascii="Arial" w:cs="Arial" w:eastAsia="Arial" w:hAnsi="Arial"/>
                <w:sz w:val="11"/>
                <w:szCs w:val="11"/>
                <w:b w:val="1"/>
                <w:bCs w:val="1"/>
                <w:color w:val="auto"/>
              </w:rPr>
              <w:t>Number</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160" w:type="dxa"/>
            <w:vAlign w:val="bottom"/>
          </w:tcPr>
          <w:p>
            <w:pPr>
              <w:ind w:left="560"/>
              <w:spacing w:after="0"/>
              <w:rPr>
                <w:sz w:val="20"/>
                <w:szCs w:val="20"/>
                <w:color w:val="auto"/>
              </w:rPr>
            </w:pPr>
            <w:r>
              <w:rPr>
                <w:rFonts w:ascii="Arial" w:cs="Arial" w:eastAsia="Arial" w:hAnsi="Arial"/>
                <w:sz w:val="11"/>
                <w:szCs w:val="11"/>
                <w:b w:val="1"/>
                <w:bCs w:val="1"/>
                <w:color w:val="auto"/>
              </w:rPr>
              <w:t>of Shares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Explanation of Responses:</w:t>
            </w: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20" w:type="dxa"/>
            <w:vAlign w:val="bottom"/>
          </w:tcPr>
          <w:p>
            <w:pPr>
              <w:ind w:left="20"/>
              <w:spacing w:after="0"/>
              <w:rPr>
                <w:sz w:val="20"/>
                <w:szCs w:val="20"/>
                <w:color w:val="auto"/>
              </w:rPr>
            </w:pPr>
            <w:r>
              <w:rPr>
                <w:rFonts w:ascii="Arial" w:cs="Arial" w:eastAsia="Arial" w:hAnsi="Arial"/>
                <w:sz w:val="11"/>
                <w:szCs w:val="11"/>
                <w:b w:val="1"/>
                <w:bCs w:val="1"/>
                <w:color w:val="auto"/>
              </w:rPr>
              <w:t>No securities are beneficially owned.</w:t>
            </w: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380" w:type="dxa"/>
            <w:vAlign w:val="bottom"/>
            <w:gridSpan w:val="7"/>
          </w:tcPr>
          <w:p>
            <w:pPr>
              <w:spacing w:after="0"/>
              <w:rPr>
                <w:sz w:val="20"/>
                <w:szCs w:val="20"/>
                <w:color w:val="auto"/>
              </w:rPr>
            </w:pPr>
            <w:r>
              <w:rPr>
                <w:rFonts w:ascii="Times New Roman" w:cs="Times New Roman" w:eastAsia="Times New Roman" w:hAnsi="Times New Roman"/>
                <w:sz w:val="15"/>
                <w:szCs w:val="15"/>
                <w:color w:val="0000FF"/>
              </w:rPr>
              <w:t>/s/ Valerie Barnett, Attorney-in-Fact 06/12/2026</w:t>
            </w: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920" w:type="dxa"/>
            <w:vAlign w:val="bottom"/>
            <w:tcBorders>
              <w:top w:val="single" w:sz="8" w:color="auto"/>
            </w:tcBorders>
            <w:gridSpan w:val="2"/>
          </w:tcPr>
          <w:p>
            <w:pPr>
              <w:spacing w:after="0"/>
              <w:rPr>
                <w:sz w:val="20"/>
                <w:szCs w:val="20"/>
                <w:color w:val="auto"/>
              </w:rPr>
            </w:pPr>
            <w:r>
              <w:rPr>
                <w:rFonts w:ascii="Arial" w:cs="Arial" w:eastAsia="Arial" w:hAnsi="Arial"/>
                <w:sz w:val="11"/>
                <w:szCs w:val="11"/>
                <w:color w:val="auto"/>
              </w:rPr>
              <w:t>** Signature of Reporting Person</w:t>
            </w:r>
          </w:p>
        </w:tc>
        <w:tc>
          <w:tcPr>
            <w:tcW w:w="2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1"/>
                <w:szCs w:val="11"/>
                <w:color w:val="auto"/>
              </w:rPr>
              <w:t>Date</w:t>
            </w:r>
          </w:p>
        </w:tc>
        <w:tc>
          <w:tcPr>
            <w:tcW w:w="100" w:type="dxa"/>
            <w:vAlign w:val="bottom"/>
            <w:tcBorders>
              <w:top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5"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45" w:lineRule="exact"/>
        <w:rPr>
          <w:sz w:val="24"/>
          <w:szCs w:val="24"/>
          <w:color w:val="auto"/>
        </w:rPr>
      </w:pPr>
    </w:p>
    <w:p>
      <w:pPr>
        <w:jc w:val="both"/>
        <w:ind w:left="20" w:right="4380" w:firstLine="5"/>
        <w:spacing w:after="0" w:line="324" w:lineRule="auto"/>
        <w:tabs>
          <w:tab w:leader="none" w:pos="141"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8" w:right="4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color w:val="auto"/>
        </w:rPr>
        <w:t>POWER OF ATTORNEY</w:t>
      </w:r>
    </w:p>
    <w:p>
      <w:pPr>
        <w:spacing w:after="0" w:line="204" w:lineRule="exact"/>
        <w:rPr>
          <w:sz w:val="20"/>
          <w:szCs w:val="20"/>
          <w:color w:val="auto"/>
        </w:rPr>
      </w:pPr>
    </w:p>
    <w:p>
      <w:pPr>
        <w:jc w:val="both"/>
        <w:ind w:firstLine="548"/>
        <w:spacing w:after="0" w:line="245" w:lineRule="auto"/>
        <w:rPr>
          <w:sz w:val="20"/>
          <w:szCs w:val="20"/>
          <w:color w:val="auto"/>
        </w:rPr>
      </w:pPr>
      <w:r>
        <w:rPr>
          <w:rFonts w:ascii="Times New Roman" w:cs="Times New Roman" w:eastAsia="Times New Roman" w:hAnsi="Times New Roman"/>
          <w:sz w:val="17"/>
          <w:szCs w:val="17"/>
          <w:color w:val="auto"/>
        </w:rPr>
        <w:t>Know all by these presents, that the undersigned hereby constitutes and appoints Wenbin Jiang, Valerie Barnett, and Tammy Wang of Cytek Biosciences, Inc. and Gordon Ho, John McKenna, Katherine Denby, and Albert Gelin of Cooley LLP, or any of them signing singly, with full power of substitution, the undersigned's true and lawful attorney in fact to:</w:t>
      </w:r>
    </w:p>
    <w:p>
      <w:pPr>
        <w:spacing w:after="0" w:line="1" w:lineRule="exact"/>
        <w:rPr>
          <w:sz w:val="20"/>
          <w:szCs w:val="20"/>
          <w:color w:val="auto"/>
        </w:rPr>
      </w:pPr>
    </w:p>
    <w:p>
      <w:pPr>
        <w:jc w:val="both"/>
        <w:ind w:left="1080" w:hanging="541"/>
        <w:spacing w:after="0" w:line="238" w:lineRule="auto"/>
        <w:tabs>
          <w:tab w:leader="none" w:pos="105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execute for and on behalf of the undersigned, in the undersigned's capacity as an officer, director or beneficial owner of more than 10% of a registered class of securities of Cytek Biosciences,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Forms 3, 4 and 5 (including any amendments thereto) in accordance with Section 16(a) of the Securities Exchange Act of 1934, as amended (the "</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and the rules thereunder and a Form ID, Uniform Application for Access Codes to File on EDGAR;</w:t>
      </w:r>
    </w:p>
    <w:p>
      <w:pPr>
        <w:jc w:val="both"/>
        <w:ind w:left="1080" w:hanging="541"/>
        <w:spacing w:after="0" w:line="238" w:lineRule="auto"/>
        <w:tabs>
          <w:tab w:leader="none" w:pos="105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ind w:left="1060" w:hanging="521"/>
        <w:spacing w:after="0"/>
        <w:tabs>
          <w:tab w:leader="none" w:pos="10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take any other action of any nature whatsoever in connection with the foregoing which, in the opinion of such attorney-in-fact, may be of benefit, in</w:t>
      </w:r>
    </w:p>
    <w:p>
      <w:pPr>
        <w:spacing w:after="0" w:line="10" w:lineRule="exact"/>
        <w:rPr>
          <w:sz w:val="20"/>
          <w:szCs w:val="20"/>
          <w:color w:val="auto"/>
        </w:rPr>
      </w:pPr>
    </w:p>
    <w:p>
      <w:pPr>
        <w:jc w:val="both"/>
        <w:ind w:left="1080"/>
        <w:spacing w:after="0" w:line="238" w:lineRule="auto"/>
        <w:rPr>
          <w:sz w:val="20"/>
          <w:szCs w:val="20"/>
          <w:color w:val="auto"/>
        </w:rPr>
      </w:pPr>
      <w:r>
        <w:rPr>
          <w:rFonts w:ascii="Times New Roman" w:cs="Times New Roman" w:eastAsia="Times New Roman" w:hAnsi="Times New Roman"/>
          <w:sz w:val="17"/>
          <w:szCs w:val="17"/>
          <w:color w:val="auto"/>
        </w:rPr>
        <w:t>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jc w:val="both"/>
        <w:ind w:firstLine="548"/>
        <w:spacing w:after="0" w:line="238" w:lineRule="auto"/>
        <w:rPr>
          <w:sz w:val="20"/>
          <w:szCs w:val="20"/>
          <w:color w:val="auto"/>
        </w:rPr>
      </w:pPr>
      <w:r>
        <w:rPr>
          <w:rFonts w:ascii="Times New Roman" w:cs="Times New Roman" w:eastAsia="Times New Roman" w:hAnsi="Times New Roman"/>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 w:lineRule="exact"/>
        <w:rPr>
          <w:sz w:val="20"/>
          <w:szCs w:val="20"/>
          <w:color w:val="auto"/>
        </w:rPr>
      </w:pPr>
    </w:p>
    <w:p>
      <w:pPr>
        <w:jc w:val="both"/>
        <w:ind w:firstLine="548"/>
        <w:spacing w:after="0" w:line="252" w:lineRule="auto"/>
        <w:rPr>
          <w:sz w:val="20"/>
          <w:szCs w:val="20"/>
          <w:color w:val="auto"/>
        </w:rPr>
      </w:pPr>
      <w:r>
        <w:rPr>
          <w:rFonts w:ascii="Times New Roman" w:cs="Times New Roman" w:eastAsia="Times New Roman" w:hAnsi="Times New Roman"/>
          <w:sz w:val="16"/>
          <w:szCs w:val="16"/>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0"/>
          <w:szCs w:val="10"/>
          <w:b w:val="1"/>
          <w:bCs w:val="1"/>
          <w:color w:val="auto"/>
        </w:rPr>
        <w:t>IN WITNESS WHEREOF</w:t>
      </w:r>
      <w:r>
        <w:rPr>
          <w:rFonts w:ascii="Times New Roman" w:cs="Times New Roman" w:eastAsia="Times New Roman" w:hAnsi="Times New Roman"/>
          <w:sz w:val="16"/>
          <w:szCs w:val="16"/>
          <w:color w:val="auto"/>
        </w:rPr>
        <w:t>, the undersigned has caused this Power of Attorney to be executed as of this 10th day of June, 2026.</w:t>
      </w:r>
    </w:p>
    <w:p>
      <w:pPr>
        <w:spacing w:after="0" w:line="1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/s/ Glenn P. Muir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10795</wp:posOffset>
            </wp:positionV>
            <wp:extent cx="2318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18385" cy="6985"/>
                    </a:xfrm>
                    <a:prstGeom prst="rect">
                      <a:avLst/>
                    </a:prstGeom>
                    <a:noFill/>
                  </pic:spPr>
                </pic:pic>
              </a:graphicData>
            </a:graphic>
          </wp:anchor>
        </w:drawing>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Glenn P. Muir</w:t>
      </w:r>
    </w:p>
    <w:sectPr>
      <w:pgSz w:w="11900" w:h="16838" w:orient="portrait"/>
      <w:cols w:equalWidth="0" w:num="1">
        <w:col w:w="10980"/>
      </w:cols>
      <w:pgMar w:left="460" w:top="32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181190" TargetMode="External"/><Relationship Id="rId12"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2026-06-12T18:30:23Z</dcterms:created>
  <dcterms:modified xsi:type="dcterms:W3CDTF">2026-06-12T18:30:23Z</dcterms:modified>
</cp:coreProperties>
</file>