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460" w:right="780" w:hanging="434"/>
        <w:spacing w:after="0" w:line="286" w:lineRule="auto"/>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001-40632</w:t>
      </w:r>
    </w:p>
    <w:p>
      <w:pPr>
        <w:spacing w:after="0" w:line="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CYTEK BIOSCIENCES,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62"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47-2547526</w:t>
            </w:r>
          </w:p>
        </w:tc>
      </w:tr>
      <w:tr>
        <w:trPr>
          <w:trHeight w:val="211"/>
        </w:trPr>
        <w:tc>
          <w:tcPr>
            <w:tcW w:w="5020" w:type="dxa"/>
            <w:vAlign w:val="bottom"/>
          </w:tcPr>
          <w:p>
            <w:pPr>
              <w:jc w:val="center"/>
              <w:ind w:right="1686"/>
              <w:spacing w:after="0"/>
              <w:rPr>
                <w:sz w:val="20"/>
                <w:szCs w:val="20"/>
                <w:color w:val="auto"/>
              </w:rPr>
            </w:pPr>
            <w:r>
              <w:rPr>
                <w:rFonts w:ascii="Times New Roman" w:cs="Times New Roman" w:eastAsia="Times New Roman" w:hAnsi="Times New Roman"/>
                <w:sz w:val="13"/>
                <w:szCs w:val="13"/>
                <w:color w:val="auto"/>
                <w:w w:val="96"/>
              </w:rPr>
              <w:t>(State or other jurisdiction of</w:t>
            </w:r>
          </w:p>
        </w:tc>
        <w:tc>
          <w:tcPr>
            <w:tcW w:w="2700" w:type="dxa"/>
            <w:vAlign w:val="bottom"/>
          </w:tcPr>
          <w:p>
            <w:pPr>
              <w:jc w:val="center"/>
              <w:ind w:left="1686"/>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2700" w:type="dxa"/>
            <w:vAlign w:val="bottom"/>
          </w:tcPr>
          <w:p>
            <w:pPr>
              <w:jc w:val="center"/>
              <w:ind w:left="1686"/>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73"/>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8"/>
                <w:szCs w:val="18"/>
                <w:b w:val="1"/>
                <w:bCs w:val="1"/>
                <w:color w:val="auto"/>
                <w:w w:val="99"/>
              </w:rPr>
              <w:t>47215 Lakeview Blvd. Fremont, California</w:t>
            </w:r>
          </w:p>
        </w:tc>
        <w:tc>
          <w:tcPr>
            <w:tcW w:w="2700" w:type="dxa"/>
            <w:vAlign w:val="bottom"/>
          </w:tcPr>
          <w:p>
            <w:pPr>
              <w:jc w:val="right"/>
              <w:ind w:right="166"/>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200"/>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00" w:type="dxa"/>
            <w:vAlign w:val="bottom"/>
          </w:tcPr>
          <w:p>
            <w:pPr>
              <w:jc w:val="center"/>
              <w:ind w:left="1706"/>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(877) 922-9835</w:t>
      </w:r>
    </w:p>
    <w:p>
      <w:pPr>
        <w:spacing w:after="0" w:line="4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20" w:type="dxa"/>
            <w:vAlign w:val="bottom"/>
            <w:gridSpan w:val="2"/>
          </w:tcPr>
          <w:p>
            <w:pPr>
              <w:ind w:left="1640"/>
              <w:spacing w:after="0"/>
              <w:rPr>
                <w:sz w:val="20"/>
                <w:szCs w:val="20"/>
                <w:color w:val="auto"/>
              </w:rPr>
            </w:pPr>
            <w:r>
              <w:rPr>
                <w:rFonts w:ascii="Times New Roman" w:cs="Times New Roman" w:eastAsia="Times New Roman" w:hAnsi="Times New Roman"/>
                <w:sz w:val="14"/>
                <w:szCs w:val="14"/>
                <w:color w:val="auto"/>
              </w:rPr>
              <w:t>Title of each class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15"/>
        </w:trPr>
        <w:tc>
          <w:tcPr>
            <w:tcW w:w="44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Common Stock, par value $0.001 per share</w:t>
            </w:r>
          </w:p>
        </w:tc>
        <w:tc>
          <w:tcPr>
            <w:tcW w:w="24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8"/>
              </w:rPr>
              <w:t>CTKB</w:t>
            </w:r>
          </w:p>
        </w:tc>
        <w:tc>
          <w:tcPr>
            <w:tcW w:w="4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r>
    </w:tbl>
    <w:p>
      <w:pPr>
        <w:spacing w:after="0" w:line="93" w:lineRule="exact"/>
        <w:rPr>
          <w:sz w:val="24"/>
          <w:szCs w:val="24"/>
          <w:color w:val="auto"/>
        </w:rPr>
      </w:pPr>
    </w:p>
    <w:p>
      <w:pPr>
        <w:ind w:right="12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3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500" w:type="dxa"/>
            <w:vAlign w:val="bottom"/>
            <w:vMerge w:val="restart"/>
          </w:tcPr>
          <w:p>
            <w:pPr>
              <w:ind w:left="820"/>
              <w:spacing w:after="0"/>
              <w:rPr>
                <w:sz w:val="20"/>
                <w:szCs w:val="20"/>
                <w:color w:val="auto"/>
              </w:rPr>
            </w:pPr>
            <w:r>
              <w:rPr>
                <w:rFonts w:ascii="Wingdings" w:cs="Wingdings" w:eastAsia="Wingdings" w:hAnsi="Wingdings"/>
                <w:sz w:val="15"/>
                <w:szCs w:val="15"/>
                <w:b w:val="1"/>
                <w:bCs w:val="1"/>
                <w:color w:val="auto"/>
              </w:rPr>
              <w:t>o</w:t>
            </w:r>
          </w:p>
        </w:tc>
        <w:tc>
          <w:tcPr>
            <w:tcW w:w="47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Accelerated filer</w:t>
            </w:r>
          </w:p>
        </w:tc>
        <w:tc>
          <w:tcPr>
            <w:tcW w:w="1660" w:type="dxa"/>
            <w:vAlign w:val="bottom"/>
            <w:vMerge w:val="restart"/>
          </w:tcPr>
          <w:p>
            <w:pPr>
              <w:jc w:val="right"/>
              <w:spacing w:after="0"/>
              <w:rPr>
                <w:sz w:val="20"/>
                <w:szCs w:val="20"/>
                <w:color w:val="auto"/>
              </w:rPr>
            </w:pPr>
            <w:r>
              <w:rPr>
                <w:rFonts w:ascii="Wingdings" w:cs="Wingdings" w:eastAsia="Wingdings" w:hAnsi="Wingdings"/>
                <w:sz w:val="15"/>
                <w:szCs w:val="15"/>
                <w:b w:val="1"/>
                <w:bCs w:val="1"/>
                <w:color w:val="auto"/>
              </w:rPr>
              <w:t>x</w:t>
            </w: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47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9"/>
        </w:trPr>
        <w:tc>
          <w:tcPr>
            <w:tcW w:w="23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500" w:type="dxa"/>
            <w:vAlign w:val="bottom"/>
            <w:vMerge w:val="restart"/>
          </w:tcPr>
          <w:p>
            <w:pPr>
              <w:ind w:left="820"/>
              <w:spacing w:after="0"/>
              <w:rPr>
                <w:sz w:val="20"/>
                <w:szCs w:val="20"/>
                <w:color w:val="auto"/>
              </w:rPr>
            </w:pPr>
            <w:r>
              <w:rPr>
                <w:rFonts w:ascii="Wingdings" w:cs="Wingdings" w:eastAsia="Wingdings" w:hAnsi="Wingdings"/>
                <w:sz w:val="15"/>
                <w:szCs w:val="15"/>
                <w:b w:val="1"/>
                <w:bCs w:val="1"/>
                <w:color w:val="auto"/>
              </w:rPr>
              <w:t>o</w:t>
            </w:r>
          </w:p>
        </w:tc>
        <w:tc>
          <w:tcPr>
            <w:tcW w:w="47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660" w:type="dxa"/>
            <w:vAlign w:val="bottom"/>
            <w:vMerge w:val="restart"/>
          </w:tcPr>
          <w:p>
            <w:pPr>
              <w:jc w:val="right"/>
              <w:spacing w:after="0"/>
              <w:rPr>
                <w:sz w:val="20"/>
                <w:szCs w:val="20"/>
                <w:color w:val="auto"/>
              </w:rPr>
            </w:pPr>
            <w:r>
              <w:rPr>
                <w:rFonts w:ascii="Wingdings" w:cs="Wingdings" w:eastAsia="Wingdings" w:hAnsi="Wingdings"/>
                <w:sz w:val="15"/>
                <w:szCs w:val="15"/>
                <w:b w:val="1"/>
                <w:bCs w:val="1"/>
                <w:color w:val="auto"/>
              </w:rPr>
              <w:t>o</w:t>
            </w: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47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Emerging growth company</w:t>
      </w:r>
    </w:p>
    <w:p>
      <w:pPr>
        <w:ind w:left="3140"/>
        <w:spacing w:after="0"/>
        <w:rPr>
          <w:sz w:val="20"/>
          <w:szCs w:val="20"/>
          <w:color w:val="auto"/>
        </w:rPr>
      </w:pPr>
      <w:r>
        <w:rPr>
          <w:rFonts w:ascii="Wingdings" w:cs="Wingdings" w:eastAsia="Wingdings" w:hAnsi="Wingdings"/>
          <w:sz w:val="15"/>
          <w:szCs w:val="15"/>
          <w:b w:val="1"/>
          <w:bCs w:val="1"/>
          <w:color w:val="auto"/>
        </w:rPr>
        <w:t>o</w:t>
      </w:r>
    </w:p>
    <w:p>
      <w:pPr>
        <w:spacing w:after="0" w:line="124" w:lineRule="exact"/>
        <w:rPr>
          <w:sz w:val="24"/>
          <w:szCs w:val="24"/>
          <w:color w:val="auto"/>
        </w:rPr>
      </w:pPr>
    </w:p>
    <w:p>
      <w:pPr>
        <w:ind w:right="520"/>
        <w:spacing w:after="0" w:line="27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ind w:right="37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Registrant’s Common Stock outstanding as of October 31, 2026 was 130,783,967.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7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60" w:type="dxa"/>
            <w:vAlign w:val="bottom"/>
            <w:gridSpan w:val="3"/>
            <w:vMerge w:val="continue"/>
          </w:tcPr>
          <w:p>
            <w:pPr>
              <w:spacing w:after="0"/>
              <w:rPr>
                <w:sz w:val="20"/>
                <w:szCs w:val="20"/>
                <w:color w:val="auto"/>
              </w:rPr>
            </w:pPr>
          </w:p>
        </w:tc>
        <w:tc>
          <w:tcPr>
            <w:tcW w:w="8700" w:type="dxa"/>
            <w:vAlign w:val="bottom"/>
            <w:gridSpan w:val="17"/>
            <w:vMerge w:val="continue"/>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Financial Statements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300" w:type="dxa"/>
            <w:vAlign w:val="bottom"/>
            <w:gridSpan w:val="6"/>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40" w:type="dxa"/>
            <w:vAlign w:val="bottom"/>
            <w:tcBorders>
              <w:top w:val="single" w:sz="8" w:color="0000FF"/>
            </w:tcBorders>
            <w:gridSpan w:val="3"/>
          </w:tcPr>
          <w:p>
            <w:pPr>
              <w:spacing w:after="0"/>
              <w:rPr>
                <w:sz w:val="21"/>
                <w:szCs w:val="21"/>
                <w:color w:val="auto"/>
              </w:rPr>
            </w:pPr>
          </w:p>
        </w:tc>
        <w:tc>
          <w:tcPr>
            <w:tcW w:w="4040" w:type="dxa"/>
            <w:vAlign w:val="bottom"/>
            <w:gridSpan w:val="2"/>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560" w:type="dxa"/>
            <w:vAlign w:val="bottom"/>
            <w:gridSpan w:val="7"/>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1"/>
                <w:szCs w:val="21"/>
                <w:color w:val="auto"/>
              </w:rPr>
            </w:pPr>
          </w:p>
        </w:tc>
        <w:tc>
          <w:tcPr>
            <w:tcW w:w="2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920" w:type="dxa"/>
            <w:vAlign w:val="bottom"/>
            <w:gridSpan w:val="11"/>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7380" w:type="dxa"/>
            <w:vAlign w:val="bottom"/>
            <w:gridSpan w:val="13"/>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60" w:type="dxa"/>
            <w:vAlign w:val="bottom"/>
            <w:gridSpan w:val="4"/>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380" w:type="dxa"/>
            <w:vAlign w:val="bottom"/>
            <w:gridSpan w:val="9"/>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gridSpan w:val="12"/>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0" w:type="dxa"/>
            <w:vAlign w:val="bottom"/>
            <w:gridSpan w:val="14"/>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1"/>
        </w:trPr>
        <w:tc>
          <w:tcPr>
            <w:tcW w:w="10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3"/>
          </w:tcPr>
          <w:p>
            <w:pPr>
              <w:ind w:left="40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780" w:type="dxa"/>
            <w:vAlign w:val="bottom"/>
            <w:tcBorders>
              <w:bottom w:val="single" w:sz="8" w:color="9A9A9A"/>
            </w:tcBorders>
          </w:tcPr>
          <w:p>
            <w:pPr>
              <w:spacing w:after="0"/>
              <w:rPr>
                <w:sz w:val="19"/>
                <w:szCs w:val="19"/>
                <w:color w:val="auto"/>
              </w:rPr>
            </w:pPr>
          </w:p>
        </w:tc>
        <w:tc>
          <w:tcPr>
            <w:tcW w:w="226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22"/>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80" w:type="dxa"/>
            <w:vAlign w:val="bottom"/>
          </w:tcPr>
          <w:p>
            <w:pPr>
              <w:spacing w:after="0"/>
              <w:rPr>
                <w:sz w:val="19"/>
                <w:szCs w:val="19"/>
                <w:color w:val="auto"/>
              </w:rPr>
            </w:pP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
        </w:trPr>
        <w:tc>
          <w:tcPr>
            <w:tcW w:w="7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90,853</w:t>
            </w:r>
          </w:p>
        </w:tc>
        <w:tc>
          <w:tcPr>
            <w:tcW w:w="0" w:type="dxa"/>
            <w:vAlign w:val="bottom"/>
          </w:tcPr>
          <w:p>
            <w:pPr>
              <w:spacing w:after="0"/>
              <w:rPr>
                <w:sz w:val="1"/>
                <w:szCs w:val="1"/>
                <w:color w:val="auto"/>
              </w:rPr>
            </w:pPr>
          </w:p>
        </w:tc>
      </w:tr>
      <w:tr>
        <w:trPr>
          <w:trHeight w:val="26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170,676</w:t>
            </w:r>
          </w:p>
        </w:tc>
        <w:tc>
          <w:tcPr>
            <w:tcW w:w="0" w:type="dxa"/>
            <w:vAlign w:val="bottom"/>
          </w:tcPr>
          <w:p>
            <w:pPr>
              <w:spacing w:after="0"/>
              <w:rPr>
                <w:sz w:val="1"/>
                <w:szCs w:val="1"/>
                <w:color w:val="auto"/>
              </w:rPr>
            </w:pPr>
          </w:p>
        </w:tc>
      </w:tr>
      <w:tr>
        <w:trPr>
          <w:trHeight w:val="26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62,509</w:t>
            </w: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48,428</w:t>
            </w:r>
          </w:p>
        </w:tc>
        <w:tc>
          <w:tcPr>
            <w:tcW w:w="0" w:type="dxa"/>
            <w:vAlign w:val="bottom"/>
          </w:tcPr>
          <w:p>
            <w:pPr>
              <w:spacing w:after="0"/>
              <w:rPr>
                <w:sz w:val="1"/>
                <w:szCs w:val="1"/>
                <w:color w:val="auto"/>
              </w:rPr>
            </w:pPr>
          </w:p>
        </w:tc>
      </w:tr>
      <w:tr>
        <w:trPr>
          <w:trHeight w:val="263"/>
        </w:trPr>
        <w:tc>
          <w:tcPr>
            <w:tcW w:w="7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0" w:type="dxa"/>
            <w:vAlign w:val="bottom"/>
          </w:tcPr>
          <w:p>
            <w:pPr>
              <w:spacing w:after="0"/>
              <w:rPr>
                <w:sz w:val="1"/>
                <w:szCs w:val="1"/>
                <w:color w:val="auto"/>
              </w:rPr>
            </w:pPr>
          </w:p>
        </w:tc>
      </w:tr>
      <w:tr>
        <w:trPr>
          <w:trHeight w:val="27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391,996</w:t>
            </w:r>
          </w:p>
        </w:tc>
        <w:tc>
          <w:tcPr>
            <w:tcW w:w="0" w:type="dxa"/>
            <w:vAlign w:val="bottom"/>
          </w:tcPr>
          <w:p>
            <w:pPr>
              <w:spacing w:after="0"/>
              <w:rPr>
                <w:sz w:val="1"/>
                <w:szCs w:val="1"/>
                <w:color w:val="auto"/>
              </w:rPr>
            </w:pPr>
          </w:p>
        </w:tc>
      </w:tr>
      <w:tr>
        <w:trPr>
          <w:trHeight w:val="26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0" w:type="dxa"/>
            <w:vAlign w:val="bottom"/>
          </w:tcPr>
          <w:p>
            <w:pPr>
              <w:spacing w:after="0"/>
              <w:rPr>
                <w:sz w:val="1"/>
                <w:szCs w:val="1"/>
                <w:color w:val="auto"/>
              </w:rPr>
            </w:pPr>
          </w:p>
        </w:tc>
      </w:tr>
      <w:tr>
        <w:trPr>
          <w:trHeight w:val="26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w:t>
            </w: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0" w:type="dxa"/>
            <w:vAlign w:val="bottom"/>
          </w:tcPr>
          <w:p>
            <w:pPr>
              <w:spacing w:after="0"/>
              <w:rPr>
                <w:sz w:val="1"/>
                <w:szCs w:val="1"/>
                <w:color w:val="auto"/>
              </w:rPr>
            </w:pPr>
          </w:p>
        </w:tc>
      </w:tr>
      <w:tr>
        <w:trPr>
          <w:trHeight w:val="263"/>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88"/>
        </w:trPr>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461,542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liability, current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6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0" w:type="dxa"/>
            <w:vAlign w:val="bottom"/>
          </w:tcPr>
          <w:p>
            <w:pPr>
              <w:spacing w:after="0"/>
              <w:rPr>
                <w:sz w:val="1"/>
                <w:szCs w:val="1"/>
                <w:color w:val="auto"/>
              </w:rPr>
            </w:pPr>
          </w:p>
        </w:tc>
      </w:tr>
      <w:tr>
        <w:trPr>
          <w:trHeight w:val="263"/>
        </w:trPr>
        <w:tc>
          <w:tcPr>
            <w:tcW w:w="7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28,504</w:t>
            </w:r>
          </w:p>
        </w:tc>
        <w:tc>
          <w:tcPr>
            <w:tcW w:w="0" w:type="dxa"/>
            <w:vAlign w:val="bottom"/>
          </w:tcPr>
          <w:p>
            <w:pPr>
              <w:spacing w:after="0"/>
              <w:rPr>
                <w:sz w:val="1"/>
                <w:szCs w:val="1"/>
                <w:color w:val="auto"/>
              </w:rPr>
            </w:pPr>
          </w:p>
        </w:tc>
      </w:tr>
      <w:tr>
        <w:trPr>
          <w:trHeight w:val="27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77,804</w:t>
            </w:r>
          </w:p>
        </w:tc>
        <w:tc>
          <w:tcPr>
            <w:tcW w:w="0" w:type="dxa"/>
            <w:vAlign w:val="bottom"/>
          </w:tcPr>
          <w:p>
            <w:pPr>
              <w:spacing w:after="0"/>
              <w:rPr>
                <w:sz w:val="1"/>
                <w:szCs w:val="1"/>
                <w:color w:val="auto"/>
              </w:rPr>
            </w:pPr>
          </w:p>
        </w:tc>
      </w:tr>
      <w:tr>
        <w:trPr>
          <w:trHeight w:val="26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Legal settlement liability, noncurrent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0" w:type="dxa"/>
            <w:vAlign w:val="bottom"/>
          </w:tcPr>
          <w:p>
            <w:pPr>
              <w:spacing w:after="0"/>
              <w:rPr>
                <w:sz w:val="1"/>
                <w:szCs w:val="1"/>
                <w:color w:val="auto"/>
              </w:rPr>
            </w:pPr>
          </w:p>
        </w:tc>
      </w:tr>
      <w:tr>
        <w:trPr>
          <w:trHeight w:val="26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14,042</w:t>
            </w: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7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119,803</w:t>
            </w:r>
          </w:p>
        </w:tc>
        <w:tc>
          <w:tcPr>
            <w:tcW w:w="0" w:type="dxa"/>
            <w:vAlign w:val="bottom"/>
          </w:tcPr>
          <w:p>
            <w:pPr>
              <w:spacing w:after="0"/>
              <w:rPr>
                <w:sz w:val="1"/>
                <w:szCs w:val="1"/>
                <w:color w:val="auto"/>
              </w:rPr>
            </w:pP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$0.001 par value; 1,000,000,000 authorized shares as of September 30, 2026 and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31, 2025, respectively; 130,771,456 and 128,550,136 issued and outstanding shares as of</w:t>
            </w: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441,107</w:t>
            </w:r>
          </w:p>
        </w:tc>
        <w:tc>
          <w:tcPr>
            <w:tcW w:w="0" w:type="dxa"/>
            <w:vAlign w:val="bottom"/>
          </w:tcPr>
          <w:p>
            <w:pPr>
              <w:spacing w:after="0"/>
              <w:rPr>
                <w:sz w:val="1"/>
                <w:szCs w:val="1"/>
                <w:color w:val="auto"/>
              </w:rPr>
            </w:pPr>
          </w:p>
        </w:tc>
      </w:tr>
      <w:tr>
        <w:trPr>
          <w:trHeight w:val="26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(101,738)</w:t>
            </w:r>
          </w:p>
        </w:tc>
        <w:tc>
          <w:tcPr>
            <w:tcW w:w="0" w:type="dxa"/>
            <w:vAlign w:val="bottom"/>
          </w:tcPr>
          <w:p>
            <w:pPr>
              <w:spacing w:after="0"/>
              <w:rPr>
                <w:sz w:val="1"/>
                <w:szCs w:val="1"/>
                <w:color w:val="auto"/>
              </w:rPr>
            </w:pPr>
          </w:p>
        </w:tc>
      </w:tr>
      <w:tr>
        <w:trPr>
          <w:trHeight w:val="27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57"/>
        </w:trPr>
        <w:tc>
          <w:tcPr>
            <w:tcW w:w="7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321,354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341,739</w:t>
            </w:r>
          </w:p>
        </w:tc>
        <w:tc>
          <w:tcPr>
            <w:tcW w:w="0" w:type="dxa"/>
            <w:vAlign w:val="bottom"/>
          </w:tcPr>
          <w:p>
            <w:pPr>
              <w:spacing w:after="0"/>
              <w:rPr>
                <w:sz w:val="1"/>
                <w:szCs w:val="1"/>
                <w:color w:val="auto"/>
              </w:rPr>
            </w:pPr>
          </w:p>
        </w:tc>
      </w:tr>
      <w:tr>
        <w:trPr>
          <w:trHeight w:val="289"/>
        </w:trPr>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461,542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ectPr>
          <w:pgSz w:w="11900" w:h="16838" w:orient="portrait"/>
          <w:cols w:equalWidth="0" w:num="1">
            <w:col w:w="10920"/>
          </w:cols>
          <w:pgMar w:left="320" w:top="121" w:right="6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Pr>
          <w:p>
            <w:pPr>
              <w:spacing w:after="0"/>
              <w:rPr>
                <w:sz w:val="18"/>
                <w:szCs w:val="18"/>
                <w:color w:val="auto"/>
              </w:rPr>
            </w:pPr>
          </w:p>
        </w:tc>
        <w:tc>
          <w:tcPr>
            <w:tcW w:w="3260" w:type="dxa"/>
            <w:vAlign w:val="bottom"/>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67"/>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37,161</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38,114</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98,496</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97,639</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139,352</w:t>
            </w:r>
          </w:p>
        </w:tc>
        <w:tc>
          <w:tcPr>
            <w:tcW w:w="0" w:type="dxa"/>
            <w:vAlign w:val="bottom"/>
          </w:tcPr>
          <w:p>
            <w:pPr>
              <w:spacing w:after="0"/>
              <w:rPr>
                <w:sz w:val="1"/>
                <w:szCs w:val="1"/>
                <w:color w:val="auto"/>
              </w:rPr>
            </w:pPr>
          </w:p>
        </w:tc>
      </w:tr>
      <w:tr>
        <w:trPr>
          <w:trHeight w:val="257"/>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48,178</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19,599</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22,023</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71,575</w:t>
            </w:r>
          </w:p>
        </w:tc>
        <w:tc>
          <w:tcPr>
            <w:tcW w:w="0" w:type="dxa"/>
            <w:vAlign w:val="bottom"/>
          </w:tcPr>
          <w:p>
            <w:pPr>
              <w:spacing w:after="0"/>
              <w:rPr>
                <w:sz w:val="1"/>
                <w:szCs w:val="1"/>
                <w:color w:val="auto"/>
              </w:rPr>
            </w:pPr>
          </w:p>
        </w:tc>
      </w:tr>
      <w:tr>
        <w:trPr>
          <w:trHeight w:val="26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36,309</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42,550</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39,629</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119,086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106,365</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0" w:type="dxa"/>
            <w:vAlign w:val="bottom"/>
          </w:tcPr>
          <w:p>
            <w:pPr>
              <w:spacing w:after="0"/>
              <w:rPr>
                <w:sz w:val="1"/>
                <w:szCs w:val="1"/>
                <w:color w:val="auto"/>
              </w:rPr>
            </w:pPr>
          </w:p>
        </w:tc>
      </w:tr>
      <w:tr>
        <w:trPr>
          <w:trHeight w:val="26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82"/>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basic and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20" w:type="dxa"/>
            <w:vAlign w:val="bottom"/>
            <w:gridSpan w:val="2"/>
            <w:vMerge w:val="continue"/>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calculating net loss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130,358,484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127,547,859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129,514,036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127,604,317</w:t>
            </w:r>
          </w:p>
        </w:tc>
        <w:tc>
          <w:tcPr>
            <w:tcW w:w="0" w:type="dxa"/>
            <w:vAlign w:val="bottom"/>
          </w:tcPr>
          <w:p>
            <w:pPr>
              <w:spacing w:after="0"/>
              <w:rPr>
                <w:sz w:val="1"/>
                <w:szCs w:val="1"/>
                <w:color w:val="auto"/>
              </w:rPr>
            </w:pPr>
          </w:p>
        </w:tc>
      </w:tr>
      <w:tr>
        <w:trPr>
          <w:trHeight w:val="126"/>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basic and diluted</w:t>
            </w: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120" w:type="dxa"/>
            <w:vAlign w:val="bottom"/>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8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(22,463)</w:t>
            </w:r>
          </w:p>
        </w:tc>
        <w:tc>
          <w:tcPr>
            <w:tcW w:w="0" w:type="dxa"/>
            <w:vAlign w:val="bottom"/>
          </w:tcPr>
          <w:p>
            <w:pPr>
              <w:spacing w:after="0"/>
              <w:rPr>
                <w:sz w:val="1"/>
                <w:szCs w:val="1"/>
                <w:color w:val="auto"/>
              </w:rPr>
            </w:pPr>
          </w:p>
        </w:tc>
      </w:tr>
      <w:tr>
        <w:trPr>
          <w:trHeight w:val="277"/>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8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Balances at December 31, 2025</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Shares issued in connection with employee stock plans</w:t>
      </w:r>
    </w:p>
    <w:p>
      <w:pPr>
        <w:spacing w:after="0" w:line="73" w:lineRule="exact"/>
        <w:rPr>
          <w:sz w:val="20"/>
          <w:szCs w:val="20"/>
          <w:color w:val="auto"/>
        </w:rPr>
      </w:pPr>
    </w:p>
    <w:p>
      <w:pPr>
        <w:ind w:left="20" w:right="20"/>
        <w:spacing w:after="0" w:line="280" w:lineRule="auto"/>
        <w:rPr>
          <w:sz w:val="20"/>
          <w:szCs w:val="20"/>
          <w:color w:val="auto"/>
        </w:rPr>
      </w:pPr>
      <w:r>
        <w:rPr>
          <w:rFonts w:ascii="Times New Roman" w:cs="Times New Roman" w:eastAsia="Times New Roman" w:hAnsi="Times New Roman"/>
          <w:sz w:val="16"/>
          <w:szCs w:val="16"/>
          <w:color w:val="auto"/>
        </w:rPr>
        <w:t>Shares of Common Stock withheld related to net share settlement</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Unrealized loss on marketable securities</w:t>
      </w:r>
    </w:p>
    <w:p>
      <w:pPr>
        <w:spacing w:after="0" w:line="73" w:lineRule="exact"/>
        <w:rPr>
          <w:sz w:val="20"/>
          <w:szCs w:val="20"/>
          <w:color w:val="auto"/>
        </w:rPr>
      </w:pPr>
    </w:p>
    <w:p>
      <w:pPr>
        <w:ind w:left="20" w:right="280"/>
        <w:spacing w:after="0" w:line="337" w:lineRule="auto"/>
        <w:rPr>
          <w:sz w:val="20"/>
          <w:szCs w:val="20"/>
          <w:color w:val="auto"/>
        </w:rPr>
      </w:pPr>
      <w:r>
        <w:rPr>
          <w:rFonts w:ascii="Times New Roman" w:cs="Times New Roman" w:eastAsia="Times New Roman" w:hAnsi="Times New Roman"/>
          <w:sz w:val="16"/>
          <w:szCs w:val="16"/>
          <w:color w:val="auto"/>
        </w:rPr>
        <w:t>Foreign currency translation adjustment, net of tax Net loss</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8"/>
                <w:szCs w:val="18"/>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4"/>
        </w:trPr>
        <w:tc>
          <w:tcPr>
            <w:tcW w:w="12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23"/>
        </w:trPr>
        <w:tc>
          <w:tcPr>
            <w:tcW w:w="1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0"/>
                <w:szCs w:val="10"/>
                <w:color w:val="auto"/>
              </w:rPr>
            </w:pPr>
          </w:p>
        </w:tc>
        <w:tc>
          <w:tcPr>
            <w:tcW w:w="10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128,550,136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441,107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341,739</w:t>
            </w:r>
          </w:p>
        </w:tc>
        <w:tc>
          <w:tcPr>
            <w:tcW w:w="0" w:type="dxa"/>
            <w:vAlign w:val="bottom"/>
          </w:tcPr>
          <w:p>
            <w:pPr>
              <w:spacing w:after="0"/>
              <w:rPr>
                <w:sz w:val="1"/>
                <w:szCs w:val="1"/>
                <w:color w:val="auto"/>
              </w:rPr>
            </w:pPr>
          </w:p>
        </w:tc>
      </w:tr>
      <w:tr>
        <w:trPr>
          <w:trHeight w:val="243"/>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647,968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338"/>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351"/>
        </w:trPr>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0" w:type="dxa"/>
            <w:vAlign w:val="bottom"/>
          </w:tcPr>
          <w:p>
            <w:pPr>
              <w:spacing w:after="0"/>
              <w:rPr>
                <w:sz w:val="1"/>
                <w:szCs w:val="1"/>
                <w:color w:val="auto"/>
              </w:rPr>
            </w:pPr>
          </w:p>
        </w:tc>
      </w:tr>
      <w:tr>
        <w:trPr>
          <w:trHeight w:val="257"/>
        </w:trPr>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57"/>
        </w:trPr>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57"/>
        </w:trPr>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-901700</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-464820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-139065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-1236345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3580" w:space="680"/>
            <w:col w:w="69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March 31, 2026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129,142,587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445,750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(120,604)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327,644</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in connection with employee stock plans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655,680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3"/>
        </w:trPr>
        <w:tc>
          <w:tcPr>
            <w:tcW w:w="4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Proceeds from Employee Stock Purchase Plan</w:t>
      </w:r>
    </w:p>
    <w:p>
      <w:pPr>
        <w:spacing w:after="0" w:line="46" w:lineRule="exact"/>
        <w:rPr>
          <w:sz w:val="20"/>
          <w:szCs w:val="20"/>
          <w:color w:val="auto"/>
        </w:rPr>
      </w:pPr>
    </w:p>
    <w:p>
      <w:pPr>
        <w:ind w:left="20" w:right="600"/>
        <w:spacing w:after="0" w:line="280" w:lineRule="auto"/>
        <w:rPr>
          <w:sz w:val="20"/>
          <w:szCs w:val="20"/>
          <w:color w:val="auto"/>
        </w:rPr>
      </w:pPr>
      <w:r>
        <w:rPr>
          <w:rFonts w:ascii="Times New Roman" w:cs="Times New Roman" w:eastAsia="Times New Roman" w:hAnsi="Times New Roman"/>
          <w:sz w:val="16"/>
          <w:szCs w:val="16"/>
          <w:color w:val="auto"/>
        </w:rPr>
        <w:t>Shares of Common Stock withheld related to net share settlement</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Unrealized loss on marketable securities</w:t>
      </w:r>
    </w:p>
    <w:p>
      <w:pPr>
        <w:spacing w:after="0" w:line="73" w:lineRule="exact"/>
        <w:rPr>
          <w:sz w:val="20"/>
          <w:szCs w:val="20"/>
          <w:color w:val="auto"/>
        </w:rPr>
      </w:pPr>
    </w:p>
    <w:p>
      <w:pPr>
        <w:ind w:left="20" w:right="860"/>
        <w:spacing w:after="0" w:line="337" w:lineRule="auto"/>
        <w:rPr>
          <w:sz w:val="20"/>
          <w:szCs w:val="20"/>
          <w:color w:val="auto"/>
        </w:rPr>
      </w:pPr>
      <w:r>
        <w:rPr>
          <w:rFonts w:ascii="Times New Roman" w:cs="Times New Roman" w:eastAsia="Times New Roman" w:hAnsi="Times New Roman"/>
          <w:sz w:val="16"/>
          <w:szCs w:val="16"/>
          <w:color w:val="auto"/>
        </w:rPr>
        <w:t>Foreign currency translation adjustment, net of tax 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6"/>
              </w:rPr>
              <w:t>236,193</w:t>
            </w:r>
          </w:p>
        </w:tc>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851</w:t>
            </w: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r>
      <w:tr>
        <w:trPr>
          <w:trHeight w:val="324"/>
        </w:trPr>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(51,707)</w:t>
            </w:r>
          </w:p>
        </w:tc>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(184)</w:t>
            </w: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351"/>
        </w:trPr>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5,339</w:t>
            </w: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5,339</w:t>
            </w:r>
          </w:p>
        </w:tc>
      </w:tr>
      <w:tr>
        <w:trPr>
          <w:trHeight w:val="257"/>
        </w:trPr>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(147)</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56"/>
        </w:trPr>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517</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257"/>
        </w:trPr>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(12,158)</w:t>
            </w: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-901700</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-464820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-139065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4160" w:space="720"/>
            <w:col w:w="6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June 30, 2026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129,982,753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451,846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(132,761)</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321,954</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3"/>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in connection with employee stock plans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844,964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r>
      <w:tr>
        <w:trPr>
          <w:trHeight w:val="202"/>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of Common Stock withheld related to net share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46"/>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w:t>
            </w:r>
          </w:p>
        </w:tc>
      </w:tr>
      <w:tr>
        <w:trPr>
          <w:trHeight w:val="23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0"/>
                <w:szCs w:val="20"/>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3"/>
        </w:trPr>
        <w:tc>
          <w:tcPr>
            <w:tcW w:w="4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6"/>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3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(6,097)</w:t>
            </w:r>
          </w:p>
        </w:tc>
      </w:tr>
      <w:tr>
        <w:trPr>
          <w:trHeight w:val="23"/>
        </w:trPr>
        <w:tc>
          <w:tcPr>
            <w:tcW w:w="4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130,771,456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457,442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(138,858)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321,354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8"/>
                <w:szCs w:val="18"/>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4"/>
        </w:trPr>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23"/>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2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0"/>
                <w:szCs w:val="10"/>
                <w:color w:val="auto"/>
              </w:rPr>
            </w:pPr>
          </w:p>
        </w:tc>
        <w:tc>
          <w:tcPr>
            <w:tcW w:w="10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8"/>
        </w:trPr>
        <w:tc>
          <w:tcPr>
            <w:tcW w:w="42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129,205,901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395,737</w:t>
            </w:r>
          </w:p>
        </w:tc>
        <w:tc>
          <w:tcPr>
            <w:tcW w:w="0" w:type="dxa"/>
            <w:vAlign w:val="bottom"/>
          </w:tcPr>
          <w:p>
            <w:pPr>
              <w:spacing w:after="0"/>
              <w:rPr>
                <w:sz w:val="1"/>
                <w:szCs w:val="1"/>
                <w:color w:val="auto"/>
              </w:rPr>
            </w:pPr>
          </w:p>
        </w:tc>
      </w:tr>
      <w:tr>
        <w:trPr>
          <w:trHeight w:val="23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issued in connection with employee stock plans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Common Stock withheld related to net share</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27"/>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of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(2,078,583)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(10,627)</w:t>
            </w:r>
          </w:p>
        </w:tc>
        <w:tc>
          <w:tcPr>
            <w:tcW w:w="0" w:type="dxa"/>
            <w:vAlign w:val="bottom"/>
          </w:tcPr>
          <w:p>
            <w:pPr>
              <w:spacing w:after="0"/>
              <w:rPr>
                <w:sz w:val="1"/>
                <w:szCs w:val="1"/>
                <w:color w:val="auto"/>
              </w:rPr>
            </w:pPr>
          </w:p>
        </w:tc>
      </w:tr>
      <w:tr>
        <w:trPr>
          <w:trHeight w:val="239"/>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0" w:type="dxa"/>
            <w:vAlign w:val="bottom"/>
          </w:tcPr>
          <w:p>
            <w:pPr>
              <w:spacing w:after="0"/>
              <w:rPr>
                <w:sz w:val="1"/>
                <w:szCs w:val="1"/>
                <w:color w:val="auto"/>
              </w:rPr>
            </w:pPr>
          </w:p>
        </w:tc>
      </w:tr>
      <w:tr>
        <w:trPr>
          <w:trHeight w:val="23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23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0" w:type="dxa"/>
            <w:vAlign w:val="bottom"/>
          </w:tcPr>
          <w:p>
            <w:pPr>
              <w:spacing w:after="0"/>
              <w:rPr>
                <w:sz w:val="1"/>
                <w:szCs w:val="1"/>
                <w:color w:val="auto"/>
              </w:rPr>
            </w:pPr>
          </w:p>
        </w:tc>
      </w:tr>
      <w:tr>
        <w:trPr>
          <w:trHeight w:val="23"/>
        </w:trPr>
        <w:tc>
          <w:tcPr>
            <w:tcW w:w="4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127,599,142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379,623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Shares issued in connection with employee stock plans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40" w:type="dxa"/>
            <w:vAlign w:val="bottom"/>
            <w:gridSpan w:val="2"/>
            <w:vMerge w:val="continue"/>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545,702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32"/>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0" w:type="dxa"/>
            <w:vAlign w:val="bottom"/>
          </w:tcPr>
          <w:p>
            <w:pPr>
              <w:spacing w:after="0"/>
              <w:rPr>
                <w:sz w:val="1"/>
                <w:szCs w:val="1"/>
                <w:color w:val="auto"/>
              </w:rPr>
            </w:pPr>
          </w:p>
        </w:tc>
      </w:tr>
      <w:tr>
        <w:trPr>
          <w:trHeight w:val="176"/>
        </w:trPr>
        <w:tc>
          <w:tcPr>
            <w:tcW w:w="42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Shares of Common Stock withheld related to net share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32"/>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(1,214,005)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0" w:type="dxa"/>
            <w:vAlign w:val="bottom"/>
          </w:tcPr>
          <w:p>
            <w:pPr>
              <w:spacing w:after="0"/>
              <w:rPr>
                <w:sz w:val="1"/>
                <w:szCs w:val="1"/>
                <w:color w:val="auto"/>
              </w:rPr>
            </w:pPr>
          </w:p>
        </w:tc>
      </w:tr>
      <w:tr>
        <w:trPr>
          <w:trHeight w:val="227"/>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0" w:type="dxa"/>
            <w:vAlign w:val="bottom"/>
          </w:tcPr>
          <w:p>
            <w:pPr>
              <w:spacing w:after="0"/>
              <w:rPr>
                <w:sz w:val="1"/>
                <w:szCs w:val="1"/>
                <w:color w:val="auto"/>
              </w:rPr>
            </w:pPr>
          </w:p>
        </w:tc>
      </w:tr>
      <w:tr>
        <w:trPr>
          <w:trHeight w:val="232"/>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27"/>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23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w:t>
            </w:r>
          </w:p>
        </w:tc>
        <w:tc>
          <w:tcPr>
            <w:tcW w:w="0" w:type="dxa"/>
            <w:vAlign w:val="bottom"/>
          </w:tcPr>
          <w:p>
            <w:pPr>
              <w:spacing w:after="0"/>
              <w:rPr>
                <w:sz w:val="1"/>
                <w:szCs w:val="1"/>
                <w:color w:val="auto"/>
              </w:rPr>
            </w:pPr>
          </w:p>
        </w:tc>
      </w:tr>
      <w:tr>
        <w:trPr>
          <w:trHeight w:val="207"/>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Balances at June 30, 2025</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127,185,113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429,652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(52,184)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377,557</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in connection with employee stock plans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75"/>
        </w:trPr>
        <w:tc>
          <w:tcPr>
            <w:tcW w:w="42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Shares of Common Stock withheld related to net share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32"/>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0" w:type="dxa"/>
            <w:vAlign w:val="bottom"/>
          </w:tcPr>
          <w:p>
            <w:pPr>
              <w:spacing w:after="0"/>
              <w:rPr>
                <w:sz w:val="1"/>
                <w:szCs w:val="1"/>
                <w:color w:val="auto"/>
              </w:rPr>
            </w:pPr>
          </w:p>
        </w:tc>
      </w:tr>
      <w:tr>
        <w:trPr>
          <w:trHeight w:val="23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2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23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0" w:type="dxa"/>
            <w:vAlign w:val="bottom"/>
          </w:tcPr>
          <w:p>
            <w:pPr>
              <w:spacing w:after="0"/>
              <w:rPr>
                <w:sz w:val="1"/>
                <w:szCs w:val="1"/>
                <w:color w:val="auto"/>
              </w:rPr>
            </w:pPr>
          </w:p>
        </w:tc>
      </w:tr>
      <w:tr>
        <w:trPr>
          <w:trHeight w:val="207"/>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Balances at September 30, 2025</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127,864,830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435,284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378,571</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(37,121)</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(22,463)</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5,683</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operating lease-right-of use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19,058</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(5,019)</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investments, accretion, and amortization, net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(4,461)</w:t>
            </w: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expenses for accretion of the legal settlement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non-cash expense (income), net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6,514</w:t>
            </w:r>
          </w:p>
        </w:tc>
        <w:tc>
          <w:tcPr>
            <w:tcW w:w="0" w:type="dxa"/>
            <w:vAlign w:val="bottom"/>
          </w:tcPr>
          <w:p>
            <w:pPr>
              <w:spacing w:after="0"/>
              <w:rPr>
                <w:sz w:val="1"/>
                <w:szCs w:val="1"/>
                <w:color w:val="auto"/>
              </w:rPr>
            </w:pPr>
          </w:p>
        </w:tc>
      </w:tr>
      <w:tr>
        <w:trPr>
          <w:trHeight w:val="206"/>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206"/>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Trade accounts payable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206"/>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Legal settlement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0" w:type="dxa"/>
            <w:vAlign w:val="bottom"/>
          </w:tcPr>
          <w:p>
            <w:pPr>
              <w:spacing w:after="0"/>
              <w:rPr>
                <w:sz w:val="1"/>
                <w:szCs w:val="1"/>
                <w:color w:val="auto"/>
              </w:rPr>
            </w:pPr>
          </w:p>
        </w:tc>
      </w:tr>
      <w:tr>
        <w:trPr>
          <w:trHeight w:val="206"/>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(201,047)</w:t>
            </w: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216,106</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0"/>
        </w:trPr>
        <w:tc>
          <w:tcPr>
            <w:tcW w:w="81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(21,858)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11,959</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Repayment of loan</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Payments for taxes related to net share settlement of equity awards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plans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line of credit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repurchase of shares</w:t>
            </w: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(15,108)</w:t>
            </w:r>
          </w:p>
        </w:tc>
        <w:tc>
          <w:tcPr>
            <w:tcW w:w="0" w:type="dxa"/>
            <w:vAlign w:val="bottom"/>
          </w:tcPr>
          <w:p>
            <w:pPr>
              <w:spacing w:after="0"/>
              <w:rPr>
                <w:sz w:val="1"/>
                <w:szCs w:val="1"/>
                <w:color w:val="auto"/>
              </w:rPr>
            </w:pPr>
          </w:p>
        </w:tc>
      </w:tr>
      <w:tr>
        <w:trPr>
          <w:trHeight w:val="200"/>
        </w:trPr>
        <w:tc>
          <w:tcPr>
            <w:tcW w:w="81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(12,206)</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cash equivalents, and restricted cash</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20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w:t>
            </w:r>
          </w:p>
        </w:tc>
        <w:tc>
          <w:tcPr>
            <w:tcW w:w="0" w:type="dxa"/>
            <w:vAlign w:val="bottom"/>
          </w:tcPr>
          <w:p>
            <w:pPr>
              <w:spacing w:after="0"/>
              <w:rPr>
                <w:sz w:val="1"/>
                <w:szCs w:val="1"/>
                <w:color w:val="auto"/>
              </w:rPr>
            </w:pPr>
          </w:p>
        </w:tc>
      </w:tr>
      <w:tr>
        <w:trPr>
          <w:trHeight w:val="20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90,853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98,745</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93,281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taxes, net of refunds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received on tax refunds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Fixed asset purchases in accounts payable or accrued purchases at period end</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Transfer of inventory to property and equipment</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Intangible asset in accounts payable or accrued expenses at period end</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0" w:type="dxa"/>
            <w:vAlign w:val="bottom"/>
          </w:tcPr>
          <w:p>
            <w:pPr>
              <w:spacing w:after="0"/>
              <w:rPr>
                <w:sz w:val="1"/>
                <w:szCs w:val="1"/>
                <w:color w:val="auto"/>
              </w:rPr>
            </w:pPr>
          </w:p>
        </w:tc>
      </w:tr>
      <w:tr>
        <w:trPr>
          <w:trHeight w:val="24"/>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w:t>
      </w:r>
    </w:p>
    <w:p>
      <w:pPr>
        <w:spacing w:after="0" w:line="121" w:lineRule="exact"/>
        <w:rPr>
          <w:sz w:val="20"/>
          <w:szCs w:val="20"/>
          <w:color w:val="auto"/>
        </w:rPr>
      </w:pPr>
    </w:p>
    <w:p>
      <w:pPr>
        <w:jc w:val="both"/>
        <w:ind w:firstLine="486"/>
        <w:spacing w:after="0" w:line="231" w:lineRule="auto"/>
        <w:rPr>
          <w:sz w:val="20"/>
          <w:szCs w:val="20"/>
          <w:color w:val="auto"/>
        </w:rPr>
      </w:pPr>
      <w:r>
        <w:rPr>
          <w:rFonts w:ascii="Times New Roman" w:cs="Times New Roman" w:eastAsia="Times New Roman" w:hAnsi="Times New Roman"/>
          <w:sz w:val="18"/>
          <w:szCs w:val="18"/>
          <w:color w:val="auto"/>
        </w:rPr>
        <w:t>Cytek Biosciences, Inc. (“Cytek” or the “Company”) is a leading cell analysis solutions company advancing the next generation of cell analysis tools with its novel technical approach of leveraging the full spectrum of fluorescence signatures from multiple lasers to distinguish fluorescent tags on single cells (“Full Spectrum Profiling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 “FSP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technology). The Company is focused on becoming the premier cell analysis company through continued innovation that facilitates scientific advances in biomedical research and clinical applications.</w:t>
      </w:r>
    </w:p>
    <w:p>
      <w:pPr>
        <w:spacing w:after="0" w:line="79" w:lineRule="exact"/>
        <w:rPr>
          <w:sz w:val="20"/>
          <w:szCs w:val="20"/>
          <w:color w:val="auto"/>
        </w:rPr>
      </w:pPr>
    </w:p>
    <w:p>
      <w:pPr>
        <w:jc w:val="both"/>
        <w:ind w:firstLine="486"/>
        <w:spacing w:after="0" w:line="235" w:lineRule="auto"/>
        <w:rPr>
          <w:sz w:val="20"/>
          <w:szCs w:val="20"/>
          <w:color w:val="auto"/>
        </w:rPr>
      </w:pPr>
      <w:r>
        <w:rPr>
          <w:rFonts w:ascii="Times New Roman" w:cs="Times New Roman" w:eastAsia="Times New Roman" w:hAnsi="Times New Roman"/>
          <w:sz w:val="18"/>
          <w:szCs w:val="18"/>
          <w:color w:val="auto"/>
        </w:rPr>
        <w:t>The Company has successfully developed and manufactured its full spectrum flow cytometry platform (“instrument(s)” or “product(s)”). The Company’s FSP cell analyzers, the Cytek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Aurora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Northern Lights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Cytek Aurora Evo systems, deliver high-resolution, high-content and high-sensitivity cell analysis. The Company also launched its Cytek Aurora cell sorter (“Aurora CS system”),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spacing w:after="0" w:line="78" w:lineRule="exact"/>
        <w:rPr>
          <w:sz w:val="20"/>
          <w:szCs w:val="20"/>
          <w:color w:val="auto"/>
        </w:rPr>
      </w:pPr>
    </w:p>
    <w:p>
      <w:pPr>
        <w:jc w:val="both"/>
        <w:ind w:firstLine="486"/>
        <w:spacing w:after="0" w:line="217"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-and Guava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-branded instruments, and flow cytometry reagent products and services (the “FCI Business”). The acquired FCI Business includes conventional flow and image-based flow cytometry instrumentation and related products and services (the “FCI Products”).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 and summary of significant accounting policies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Cytek Biosciences, Inc., its wholly-owned subsidiaries, Cytek Biosciences B.V. (Netherlands), Cytek Biosciences GmbH (Germany), Cytek Biosciences Ltd (UK), Cytek Biosciences Pte. Ltd. (Singapore), Cytek Biosciences S.A.S. (France), Cytek Limited (Hong Kong), Cytek Japan Corporation (“Cytek Japan”), Cytek (Shanghai) Biosciences Co., Ltd., and Cytek (Wuxi) Biosciences Co., Ltd. (“Cytek Wuxi”), and Cytek Biosciences Canada Ltd. (Canada). All intercompany accounts and transactions have been eliminated in consolidation.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and voting interest entities</w:t>
      </w:r>
    </w:p>
    <w:p>
      <w:pPr>
        <w:spacing w:after="0" w:line="121"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entity model (“VOE”) or other applicable GAAP metric.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other equity holders do not have substantive voting, participating or liquidation rights. The Company does not currently hold an interest in a VIE.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conformity with GAAP requires management to make estimates and assumptions that affect the amounts reported in the unaudited interim consolidated financial statements and accompanying notes. The accounting estimates that require management’s most significant, complex, and subjective judgments include the standalone selling prices used to allocate the contract consideration to the individual performance obligations, the allowance for credit losses, the valuation of inventory, the valuation of and assessment of the recoverability of long-lived assets, including intangible assets, property and equipment, as well as goodwill, the recognition and measurement of current and deferred income taxes, including the measurement of uncertain tax positions, and the estimates for legal contingencies. Actual results could differ materially from these estimates.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loss have been translated at the average exchange rate for the year or the reporting period. Translation gains and losses are recorded in accumulated other comprehensive (loss)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(loss)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cash, cash equivalents, and restricted cash consist of money held in demand depository accounts and money market funds. The carrying amount of cash, cash equivalents, and restricted cash was $67.2 million and $90.9 million as of September 30, 2026 and December 31, 2025, respectively, which approximates fair value and was determined based upon Level 1 inputs. The money market account is valued using quoted market prices with no valuation adjustments applied and is categorized as Level 1 or Level 2 inputs, as applicable. The Company limits its credit risk associated with cash and cash equivalents by maintaining its bank accounts at major and reputable financial institutions. The Company’s cash and cash equivalents balance exceeded the federally insured limit of $250,000 as of September 30, 2026.</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is a summary of cash, cash equivalents and restricted cash on the unaudited interim consolidated balance sheets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28,983</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45,436</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90,853</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classifies restricted cash as current on the accompanying unaudited interim consolidated balance sheets based on the expected timing of the release of the restrictions. The restricted cash supports Cytek Biosciences B.V.’s tender submissions when a potential customer requires a bank guarantee. Restricted cash was $0.4 million and zero as of September 30, 2026 and December 31, 2025,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The Company’s investments may consist of U.S. treasury and U.S. government agency securities, corporate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bonds, commercial paper, and money market funds. The Company has designated all investments as available-for-sale and, therefore, such investments are reported at fair value, with unrealized gains and losses recorded in accumulated other comprehensive (loss) income.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unaudited interim consolidated statements of operations and comprehensive loss. Investments with remaining maturities at date of purchase greater than 90 days and remaining maturities as of the reporting period less than one year are classified as marketable securities. Investments with remaining maturities greater than one year are classified as long-term investments.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Company’s equity investments consist of non-marketable equity investments in a privately held company.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unaudited interim consolidated balance sheets and adjustments to their carrying amounts are recorded in other income (expense), net in the unaudited interim consolidated statements of operations and comprehensive loss. During the nine months ended September 30, 2026, the Company recognized an impairment loss of approximately $1.6 million on its non-marketable equity investment after determining that the investment was impaired as of June 30, 2026. As a result, the carrying value of the investment was reduced to zero as of June 30, 2026, and the Company had no remaining non-marketable equity investments as of September 30,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net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consists principally of amounts due related to product sales of instrument systems, reagents and accessories, as well as installation and repair services. These receivables are generally due within 30 to 90 days of the period in which the corresponding sales occur, do not bear interest and are classified as trade accounts receivable, net on the unaudited interim consolidated balance sheets. Trade accounts receivable are reported at their estimated net realizable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based on the Company’s assessment of the collectibility of customer accounts. The Company regularly reviews the allowance by considering factors such as historical experience, credit quality, age of the accounts receivable balances, and current economic conditions that may affect a customer’s ability to pay.</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arrangements that would require an allowance for credit losses in accordance with this accounting standard.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allowance for credit losses for the nine months ended September 30, 2026 were as follows (in thousands):</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6200" w:type="dxa"/>
            <w:vAlign w:val="bottom"/>
          </w:tcPr>
          <w:p>
            <w:pPr>
              <w:jc w:val="center"/>
              <w:ind w:right="3870"/>
              <w:spacing w:after="0"/>
              <w:rPr>
                <w:sz w:val="20"/>
                <w:szCs w:val="20"/>
                <w:color w:val="auto"/>
              </w:rPr>
            </w:pPr>
            <w:r>
              <w:rPr>
                <w:rFonts w:ascii="Times New Roman" w:cs="Times New Roman" w:eastAsia="Times New Roman" w:hAnsi="Times New Roman"/>
                <w:sz w:val="18"/>
                <w:szCs w:val="18"/>
                <w:color w:val="auto"/>
                <w:w w:val="99"/>
              </w:rPr>
              <w:t>Balance at December 31, 2025</w:t>
            </w:r>
          </w:p>
        </w:tc>
        <w:tc>
          <w:tcPr>
            <w:tcW w:w="202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77"/>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Utilization of allowance for credit losses</w:t>
            </w:r>
          </w:p>
        </w:tc>
        <w:tc>
          <w:tcPr>
            <w:tcW w:w="2020" w:type="dxa"/>
            <w:vAlign w:val="bottom"/>
            <w:shd w:val="clear" w:color="auto" w:fill="CCEEFF"/>
          </w:tcPr>
          <w:p>
            <w:pPr>
              <w:spacing w:after="0"/>
              <w:rPr>
                <w:sz w:val="24"/>
                <w:szCs w:val="24"/>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00" w:type="dxa"/>
            <w:vAlign w:val="bottom"/>
            <w:tcBorders>
              <w:bottom w:val="single" w:sz="8" w:color="CCEEFF"/>
            </w:tcBorders>
          </w:tcPr>
          <w:p>
            <w:pPr>
              <w:jc w:val="center"/>
              <w:ind w:right="3890"/>
              <w:spacing w:after="0"/>
              <w:rPr>
                <w:sz w:val="20"/>
                <w:szCs w:val="20"/>
                <w:color w:val="auto"/>
              </w:rPr>
            </w:pPr>
            <w:r>
              <w:rPr>
                <w:rFonts w:ascii="Times New Roman" w:cs="Times New Roman" w:eastAsia="Times New Roman" w:hAnsi="Times New Roman"/>
                <w:sz w:val="18"/>
                <w:szCs w:val="18"/>
                <w:color w:val="auto"/>
                <w:w w:val="99"/>
              </w:rPr>
              <w:t>Provision for credit losses</w:t>
            </w:r>
          </w:p>
        </w:tc>
        <w:tc>
          <w:tcPr>
            <w:tcW w:w="20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88"/>
        </w:trPr>
        <w:tc>
          <w:tcPr>
            <w:tcW w:w="6200" w:type="dxa"/>
            <w:vAlign w:val="bottom"/>
            <w:tcBorders>
              <w:bottom w:val="single" w:sz="8" w:color="CCEEFF"/>
            </w:tcBorders>
            <w:shd w:val="clear" w:color="auto" w:fill="CCEEFF"/>
          </w:tcPr>
          <w:p>
            <w:pPr>
              <w:jc w:val="center"/>
              <w:ind w:right="3830"/>
              <w:spacing w:after="0"/>
              <w:rPr>
                <w:sz w:val="20"/>
                <w:szCs w:val="20"/>
                <w:color w:val="auto"/>
              </w:rPr>
            </w:pPr>
            <w:r>
              <w:rPr>
                <w:rFonts w:ascii="Times New Roman" w:cs="Times New Roman" w:eastAsia="Times New Roman" w:hAnsi="Times New Roman"/>
                <w:sz w:val="18"/>
                <w:szCs w:val="18"/>
                <w:color w:val="auto"/>
                <w:w w:val="99"/>
              </w:rPr>
              <w:t>Balance at September 30, 2026</w:t>
            </w:r>
          </w:p>
        </w:tc>
        <w:tc>
          <w:tcPr>
            <w:tcW w:w="2020" w:type="dxa"/>
            <w:vAlign w:val="bottom"/>
            <w:tcBorders>
              <w:bottom w:val="single" w:sz="8" w:color="auto"/>
            </w:tcBorders>
            <w:shd w:val="clear" w:color="auto" w:fill="CCEEFF"/>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Depreciation is recorded using the straight-line method based on the estimated useful lives of the depreciable property or, for leasehold improvements,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remaining term of the lease, whichever is shorter. Assets not yet placed in use are not depreciated. The Company’s estimated useful lives of its property and equipment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674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8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674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20 years</w:t>
            </w:r>
          </w:p>
        </w:tc>
      </w:tr>
      <w:tr>
        <w:trPr>
          <w:trHeight w:val="27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74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7"/>
              </w:rPr>
              <w:t>5 - 7 years</w:t>
            </w:r>
          </w:p>
        </w:tc>
      </w:tr>
      <w:tr>
        <w:trPr>
          <w:trHeight w:val="26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67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5 - 10 years</w:t>
            </w:r>
          </w:p>
        </w:tc>
      </w:tr>
      <w:tr>
        <w:trPr>
          <w:trHeight w:val="27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674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7"/>
              </w:rPr>
              <w:t>3 - 5 years</w:t>
            </w:r>
          </w:p>
        </w:tc>
      </w:tr>
      <w:tr>
        <w:trPr>
          <w:trHeight w:val="25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74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Shorter of expected lease term or estimated useful life</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Upon sale or retirement of the assets, the cost and related accumulated depreciation are removed from the accounts and the resulting gain or loss is recognized in the unaudited interim consolidated statements of operations and comprehensive loss. Expenditures for general maintenance and repairs are expensed as incurred.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Pr>
          <w:p>
            <w:pPr>
              <w:spacing w:after="0"/>
              <w:rPr>
                <w:sz w:val="21"/>
                <w:szCs w:val="21"/>
                <w:color w:val="auto"/>
              </w:rPr>
            </w:pP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7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64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20 years</w:t>
            </w:r>
          </w:p>
        </w:tc>
      </w:tr>
      <w:tr>
        <w:trPr>
          <w:trHeight w:val="27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10 years</w:t>
            </w:r>
          </w:p>
        </w:tc>
      </w:tr>
      <w:tr>
        <w:trPr>
          <w:trHeight w:val="27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64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2 - 15 years</w:t>
            </w:r>
          </w:p>
        </w:tc>
      </w:tr>
      <w:tr>
        <w:trPr>
          <w:trHeight w:val="26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FCI developed technology</w:t>
            </w: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1 - 6 years</w:t>
            </w:r>
          </w:p>
        </w:tc>
      </w:tr>
      <w:tr>
        <w:trPr>
          <w:trHeight w:val="27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w:t>
            </w:r>
          </w:p>
        </w:tc>
        <w:tc>
          <w:tcPr>
            <w:tcW w:w="64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7"/>
              </w:rPr>
              <w:t>7 - 9 years</w:t>
            </w:r>
          </w:p>
        </w:tc>
      </w:tr>
      <w:tr>
        <w:trPr>
          <w:trHeight w:val="27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Reagent licenses</w:t>
            </w: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7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64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impairment of long-lived assets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Long-lived assets with finite lives include property and equipment, as well as acquired finite-lived intangible assets. The Company evaluates long-lived assets, including acquired finite-lived intangible assets, for impairment whenever events or changes in circumstances indicate that the carrying amount of an asset may not be recoverable. Recoverability of assets held and used is measured by comparing the carrying amount of an asset or an asset group to the estimated undiscounted future net cash flows expected to be generated by the asset or asset group. If the carrying amount of an asset exceeds these estimated future cash flows, an impairment charge is recognized for the amount by which the carrying amount of the asset exceeds the fair value of the asset or asset group.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indicates the carrying value of the reporting unit exceeds its fair value, in which case an impairment charge is recorded to goodwill to the extent the carrying value exceeds the fair value, limited to the amount of goodwill. The Company did not recognize any impairment of goodwill and indefinite-lived intangible assets for all periods presented.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interim consolidated balance sheets for cash and cash equivalents, trade accounts receivable, net, trade accounts payable, and accrued expenses approximate their fair values due to their short maturities.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product revenue consists of sales of its instrument systems, reagents and accessories. The Company recognizes product revenue at the point in time when control of the product is transferred to the customer.</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Invoicing for products occurs upon shipment and is adjusted based on the applicable International Commercial Terms, and payment terms are 30 to 90 days. Service contracts are invoiced upfront and payment terms are generally 30 days. For those arrangements that have terms longer than one year, any payments received upfront are for reasons other than financing. Revenue is recognized only to the extent that it is probable that a significant reversal of the cumulative amount recognized will not occur in future periods. The Company does not typically offer discounts, rebates, incentives, or rights of return. Variable consideration is not material.</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unaudited interim consolidated balance sheets. Deferred revenue that is expected to be recognized during the following 12 months is recorded as a current liability and the remaining portion is recorded as noncurrent.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Assurance-type product warranties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cost of advertising, marketing and media is expensed as incurred. For the three and nine months ended September 30, 2026, advertising, marketing and media expenses were $0.7 million and $3.3 million, respectively. For the three and nine months ended September 30, 2025, advertising, marketing and media expenses were $0.8 million and $3.2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Expected Volatility—Expected volatility is estimated by analyzing the historical volatility of the Company’s historical market data for the assessment corresponds to the expected term of the awards.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Expected Term—Expected term represents the period that the Company’s stock-based awards are expected to be outstanding and is determined using the simplified method.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Dividend Yield— The expected dividend yield is zero as the Company has never declared or paid cash dividends and has no current plans to do so in the foreseeable future.</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U.S. Treasury zero-coupon issued in effect at the time of grant for periods corresponding with the expected term of the option.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unaudited interim consolidated statements of operations and comprehensive loss. Accrued interest and penalties, if any, are included in accrued expenses in the unaudited interim consolidated balance sheet.</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federal,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Basic net loss per share and diluted net loss per share are computed using the weighted-average number of shares of common stock outstanding for the period. Net loss per share is calculated using the two-class method, which is an earnings allocation formula that determines net loss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per share in the periods in which net loss is recorded.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per share gives effect to all potentially dilutive common stock equivalents, including outstanding options and redeemable convertible preferred stock.</w:t>
      </w:r>
    </w:p>
    <w:p>
      <w:pPr>
        <w:spacing w:after="0" w:line="72" w:lineRule="exact"/>
        <w:rPr>
          <w:sz w:val="20"/>
          <w:szCs w:val="20"/>
          <w:color w:val="auto"/>
        </w:rPr>
      </w:pPr>
    </w:p>
    <w:p>
      <w:pPr>
        <w:ind w:right="2140" w:firstLine="486"/>
        <w:spacing w:after="0" w:line="374" w:lineRule="auto"/>
        <w:rPr>
          <w:sz w:val="20"/>
          <w:szCs w:val="20"/>
          <w:color w:val="auto"/>
        </w:rPr>
      </w:pPr>
      <w:r>
        <w:rPr>
          <w:rFonts w:ascii="Times New Roman" w:cs="Times New Roman" w:eastAsia="Times New Roman" w:hAnsi="Times New Roman"/>
          <w:sz w:val="18"/>
          <w:szCs w:val="18"/>
          <w:color w:val="auto"/>
        </w:rPr>
        <w:t xml:space="preserve">Common stock equivalents are excluded from the computation of diluted net loss per share if their effect is antidilutive. </w:t>
      </w:r>
      <w:r>
        <w:rPr>
          <w:rFonts w:ascii="Times New Roman" w:cs="Times New Roman" w:eastAsia="Times New Roman" w:hAnsi="Times New Roman"/>
          <w:sz w:val="18"/>
          <w:szCs w:val="18"/>
          <w:b w:val="1"/>
          <w:bCs w:val="1"/>
          <w:i w:val="1"/>
          <w:iCs w:val="1"/>
          <w:color w:val="auto"/>
        </w:rPr>
        <w:t>Business Combinations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acquisition method of accounting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Each acquired company’s operating results are included in the Company’s unaudited interim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Amounts allocated to assets and liabilities are based upon their estimated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which provides a practical expedient and an accounting policy election related to the estimation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for current accounts receivable and current contract assets. ASU 2025-05 is effective for annual periods beginning after December 15, 2025, including interim periods within those annual periods. The Company adopted ASU 2025-05 effective January 1, 2026, on a prospective basis. In connection with this adoption, the Company elected to apply the practical expedient permitted by the standard, which assumes that current conditions as of the balance sheet date do not change for the remaining life of the assets. The adoption of ASU 2025-05 did not have a material impact on the Company’s unaudited interim consolidated financial statements and related disclosures.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xml:space="preserve">), and in January 2025 issued ASU 2025-01, </w:t>
      </w:r>
      <w:r>
        <w:rPr>
          <w:rFonts w:ascii="Times New Roman" w:cs="Times New Roman" w:eastAsia="Times New Roman" w:hAnsi="Times New Roman"/>
          <w:sz w:val="18"/>
          <w:szCs w:val="18"/>
          <w:i w:val="1"/>
          <w:iCs w:val="1"/>
          <w:color w:val="auto"/>
        </w:rPr>
        <w:t>Clarifying the 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2025-01</w:t>
      </w:r>
      <w:r>
        <w:rPr>
          <w:rFonts w:ascii="Times New Roman" w:cs="Times New Roman" w:eastAsia="Times New Roman" w:hAnsi="Times New Roman"/>
          <w:sz w:val="18"/>
          <w:szCs w:val="18"/>
          <w:color w:val="auto"/>
        </w:rPr>
        <w:t>”) to provide clarification as to the effective date. ASU 2024-03 requires disaggregated disclosure of income statement expenses. ASU 2024-03 does not change the expense captions currently presented on the income statement; rather it requires disaggregation of certain expense captions into specified categories in disclosures within the footnotes to the financial statements. ASU 2024-03, as amended by ASU 2025-01, is effective for annual reporting periods beginning after December 15, 2026, and interim reporting periods within fiscal years beginning after December 15, 2027. ASU 2024-03 can be applied on a prospective basis. Early adoption is permitted. The Company is currently in the process of evaluating the impact of this pronouncement on its related disclosures.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which modernizes the accounting for internal-use software costs. ASU 2025-06 is effective for annual periods beginning after December 15, 2027, with early adoption permitted as of the beginning of an annual period. The Company is currently in the process of evaluating the impact of this pronouncement on its unaudited interim consolidated financial statements and related disclosures.</w:t>
      </w:r>
    </w:p>
    <w:p>
      <w:pPr>
        <w:spacing w:after="0" w:line="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Concentrations of credit risk and other risks and uncertainties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pacing w:after="0" w:line="6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depicts the disaggregation of revenue by sales channel mix and customer mix as defined by the nature of workflows (in thousands):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26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9"/>
        </w:trPr>
        <w:tc>
          <w:tcPr>
            <w:tcW w:w="47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6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sales channel</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42,303</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37,673</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105,774</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101,112</w:t>
            </w:r>
          </w:p>
        </w:tc>
      </w:tr>
      <w:tr>
        <w:trPr>
          <w:trHeight w:val="27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Distributor channel</w:t>
            </w:r>
          </w:p>
        </w:tc>
        <w:tc>
          <w:tcPr>
            <w:tcW w:w="9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39,730</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38,240</w:t>
            </w: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139,352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8"/>
        </w:trPr>
        <w:tc>
          <w:tcPr>
            <w:tcW w:w="47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r>
      <w:tr>
        <w:trPr>
          <w:trHeight w:val="26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mix</w:t>
            </w:r>
          </w:p>
        </w:tc>
        <w:tc>
          <w:tcPr>
            <w:tcW w:w="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Academia and government</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24,509</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56,677</w:t>
            </w:r>
          </w:p>
        </w:tc>
      </w:tr>
      <w:tr>
        <w:trPr>
          <w:trHeight w:val="225"/>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Biotechnology, pharmaceutical, distributor and contract</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5"/>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research organizations</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28,720</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82,675</w:t>
            </w: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139,352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geographical markets is presented in Note 20.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revenues expected to be recognized in the future related to performance obligations that are unsatisfied (or partially satisfied) as of September 30, 2026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Greater than 1 year</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6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48,162</w:t>
            </w:r>
          </w:p>
        </w:tc>
      </w:tr>
      <w:tr>
        <w:trPr>
          <w:trHeight w:val="28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immaterial amounts of contract assets included within prepaid expenses and other current assets on the unaudited interim consolidated balance sheets. The following table provides information about deferred revenue from contracts with customers, and customer deposits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30,281</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w:t>
            </w: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18,339</w:t>
            </w:r>
          </w:p>
        </w:tc>
      </w:tr>
      <w:tr>
        <w:trPr>
          <w:trHeight w:val="264"/>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Customer deposits, which are included in 'Other current liabilities'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8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provides a roll-forward of the contract liabilities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5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42,708</w:t>
            </w:r>
          </w:p>
        </w:tc>
        <w:tc>
          <w:tcPr>
            <w:tcW w:w="0" w:type="dxa"/>
            <w:vAlign w:val="bottom"/>
          </w:tcPr>
          <w:p>
            <w:pPr>
              <w:spacing w:after="0"/>
              <w:rPr>
                <w:sz w:val="1"/>
                <w:szCs w:val="1"/>
                <w:color w:val="auto"/>
              </w:rPr>
            </w:pPr>
          </w:p>
        </w:tc>
      </w:tr>
      <w:tr>
        <w:trPr>
          <w:trHeight w:val="26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5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(57,106)</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58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62,310</w:t>
            </w:r>
          </w:p>
        </w:tc>
        <w:tc>
          <w:tcPr>
            <w:tcW w:w="0" w:type="dxa"/>
            <w:vAlign w:val="bottom"/>
          </w:tcPr>
          <w:p>
            <w:pPr>
              <w:spacing w:after="0"/>
              <w:rPr>
                <w:sz w:val="1"/>
                <w:szCs w:val="1"/>
                <w:color w:val="auto"/>
              </w:rPr>
            </w:pPr>
          </w:p>
        </w:tc>
      </w:tr>
      <w:tr>
        <w:trPr>
          <w:trHeight w:val="26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6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47,912</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58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(47,215)</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58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6"/>
              </w:rPr>
              <w:t>50,119</w:t>
            </w:r>
          </w:p>
        </w:tc>
        <w:tc>
          <w:tcPr>
            <w:tcW w:w="0" w:type="dxa"/>
            <w:vAlign w:val="bottom"/>
          </w:tcPr>
          <w:p>
            <w:pPr>
              <w:spacing w:after="0"/>
              <w:rPr>
                <w:sz w:val="1"/>
                <w:szCs w:val="1"/>
                <w:color w:val="auto"/>
              </w:rPr>
            </w:pPr>
          </w:p>
        </w:tc>
      </w:tr>
      <w:tr>
        <w:trPr>
          <w:trHeight w:val="29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6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50,816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90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9A9A9A"/>
            </w:tcBorders>
          </w:tcPr>
          <w:p>
            <w:pPr>
              <w:spacing w:after="0"/>
              <w:rPr>
                <w:sz w:val="19"/>
                <w:szCs w:val="19"/>
                <w:color w:val="auto"/>
              </w:rPr>
            </w:pPr>
          </w:p>
        </w:tc>
        <w:tc>
          <w:tcPr>
            <w:tcW w:w="586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Balance sheet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48,428</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refund receivable</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Tenant improvement receivables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 fees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0" w:type="dxa"/>
            <w:vAlign w:val="bottom"/>
          </w:tcPr>
          <w:p>
            <w:pPr>
              <w:spacing w:after="0"/>
              <w:rPr>
                <w:sz w:val="1"/>
                <w:szCs w:val="1"/>
                <w:color w:val="auto"/>
              </w:rPr>
            </w:pP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warranty</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product warranty analysis refer to Note 18.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other current liabilities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loan and line of credit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16,978</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81"/>
        </w:trPr>
        <w:tc>
          <w:tcPr>
            <w:tcW w:w="47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454"/>
              <w:spacing w:after="0" w:line="146"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97"/>
        </w:trPr>
        <w:tc>
          <w:tcPr>
            <w:tcW w:w="4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gridSpan w:val="2"/>
          </w:tcPr>
          <w:p>
            <w:pPr>
              <w:jc w:val="center"/>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inputs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4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40,900</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40,900</w:t>
            </w:r>
          </w:p>
        </w:tc>
        <w:tc>
          <w:tcPr>
            <w:tcW w:w="80" w:type="dxa"/>
            <w:vAlign w:val="bottom"/>
          </w:tcPr>
          <w:p>
            <w:pPr>
              <w:spacing w:after="0"/>
              <w:rPr>
                <w:sz w:val="22"/>
                <w:szCs w:val="22"/>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1,985</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149,249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149,249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20,052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20,052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19,792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19,792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233,967</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192,134</w:t>
            </w:r>
          </w:p>
        </w:tc>
        <w:tc>
          <w:tcPr>
            <w:tcW w:w="8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41,833</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active</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81"/>
        </w:trPr>
        <w:tc>
          <w:tcPr>
            <w:tcW w:w="47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7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45,436</w:t>
            </w:r>
          </w:p>
        </w:tc>
        <w:tc>
          <w:tcPr>
            <w:tcW w:w="80" w:type="dxa"/>
            <w:vAlign w:val="bottom"/>
          </w:tcPr>
          <w:p>
            <w:pPr>
              <w:spacing w:after="0"/>
              <w:rPr>
                <w:sz w:val="22"/>
                <w:szCs w:val="22"/>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45,436</w:t>
            </w:r>
          </w:p>
        </w:tc>
        <w:tc>
          <w:tcPr>
            <w:tcW w:w="80" w:type="dxa"/>
            <w:vAlign w:val="bottom"/>
          </w:tcPr>
          <w:p>
            <w:pPr>
              <w:spacing w:after="0"/>
              <w:rPr>
                <w:sz w:val="22"/>
                <w:szCs w:val="22"/>
                <w:color w:val="auto"/>
              </w:rPr>
            </w:pP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232,546</w:t>
            </w:r>
          </w:p>
        </w:tc>
        <w:tc>
          <w:tcPr>
            <w:tcW w:w="80" w:type="dxa"/>
            <w:vAlign w:val="bottom"/>
          </w:tcPr>
          <w:p>
            <w:pPr>
              <w:spacing w:after="0"/>
              <w:rPr>
                <w:sz w:val="22"/>
                <w:szCs w:val="22"/>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194,967</w:t>
            </w:r>
          </w:p>
        </w:tc>
        <w:tc>
          <w:tcPr>
            <w:tcW w:w="80" w:type="dxa"/>
            <w:vAlign w:val="bottom"/>
          </w:tcPr>
          <w:p>
            <w:pPr>
              <w:spacing w:after="0"/>
              <w:rPr>
                <w:sz w:val="22"/>
                <w:szCs w:val="22"/>
                <w:color w:val="auto"/>
              </w:rPr>
            </w:pP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80" w:type="dxa"/>
            <w:vAlign w:val="bottom"/>
          </w:tcPr>
          <w:p>
            <w:pPr>
              <w:spacing w:after="0"/>
              <w:rPr>
                <w:sz w:val="22"/>
                <w:szCs w:val="22"/>
                <w:color w:val="auto"/>
              </w:rPr>
            </w:pPr>
          </w:p>
        </w:tc>
        <w:tc>
          <w:tcPr>
            <w:tcW w:w="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did not have any transfers of financial assets measured at fair value on a recurring basis to or from Level 1, Level 2 or Level 3 for any of the periods presented.</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September 30, 2026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33"/>
        </w:trPr>
        <w:tc>
          <w:tcPr>
            <w:tcW w:w="5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1"/>
                <w:szCs w:val="11"/>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5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149,249</w:t>
            </w:r>
          </w:p>
        </w:tc>
        <w:tc>
          <w:tcPr>
            <w:tcW w:w="0" w:type="dxa"/>
            <w:vAlign w:val="bottom"/>
          </w:tcPr>
          <w:p>
            <w:pPr>
              <w:spacing w:after="0"/>
              <w:rPr>
                <w:sz w:val="1"/>
                <w:szCs w:val="1"/>
                <w:color w:val="auto"/>
              </w:rPr>
            </w:pPr>
          </w:p>
        </w:tc>
      </w:tr>
      <w:tr>
        <w:trPr>
          <w:trHeight w:val="26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19,792</w:t>
            </w:r>
          </w:p>
        </w:tc>
        <w:tc>
          <w:tcPr>
            <w:tcW w:w="0" w:type="dxa"/>
            <w:vAlign w:val="bottom"/>
          </w:tcPr>
          <w:p>
            <w:pPr>
              <w:spacing w:after="0"/>
              <w:rPr>
                <w:sz w:val="1"/>
                <w:szCs w:val="1"/>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189,458</w:t>
            </w: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3"/>
                <w:szCs w:val="23"/>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189,093</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securities at September 30, 2026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3"/>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0"/>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7"/>
                <w:szCs w:val="17"/>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189,458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189,093</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189,458</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189,093</w:t>
            </w:r>
          </w:p>
        </w:tc>
      </w:tr>
      <w:tr>
        <w:trPr>
          <w:trHeight w:val="21"/>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December 31, 2025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33"/>
        </w:trPr>
        <w:tc>
          <w:tcPr>
            <w:tcW w:w="5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1"/>
                <w:szCs w:val="11"/>
                <w:color w:val="auto"/>
              </w:rPr>
            </w:pPr>
          </w:p>
        </w:tc>
        <w:tc>
          <w:tcPr>
            <w:tcW w:w="1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5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133,097</w:t>
            </w:r>
          </w:p>
        </w:tc>
        <w:tc>
          <w:tcPr>
            <w:tcW w:w="0" w:type="dxa"/>
            <w:vAlign w:val="bottom"/>
          </w:tcPr>
          <w:p>
            <w:pPr>
              <w:spacing w:after="0"/>
              <w:rPr>
                <w:sz w:val="1"/>
                <w:szCs w:val="1"/>
                <w:color w:val="auto"/>
              </w:rPr>
            </w:pPr>
          </w:p>
        </w:tc>
      </w:tr>
      <w:tr>
        <w:trPr>
          <w:trHeight w:val="26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0" w:type="dxa"/>
            <w:vAlign w:val="bottom"/>
          </w:tcPr>
          <w:p>
            <w:pPr>
              <w:spacing w:after="0"/>
              <w:rPr>
                <w:sz w:val="1"/>
                <w:szCs w:val="1"/>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170,676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securities at December 31, 2025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8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7"/>
                <w:szCs w:val="17"/>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380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43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170,536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170,676</w:t>
            </w:r>
          </w:p>
        </w:tc>
        <w:tc>
          <w:tcPr>
            <w:tcW w:w="0" w:type="dxa"/>
            <w:vAlign w:val="bottom"/>
          </w:tcPr>
          <w:p>
            <w:pPr>
              <w:spacing w:after="0"/>
              <w:rPr>
                <w:sz w:val="1"/>
                <w:szCs w:val="1"/>
                <w:color w:val="auto"/>
              </w:rPr>
            </w:pPr>
          </w:p>
        </w:tc>
      </w:tr>
      <w:tr>
        <w:trPr>
          <w:trHeight w:val="27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170,536</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170,676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38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380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9A9A9A"/>
            </w:tcBorders>
          </w:tcPr>
          <w:p>
            <w:pPr>
              <w:spacing w:after="0"/>
              <w:rPr>
                <w:sz w:val="19"/>
                <w:szCs w:val="19"/>
                <w:color w:val="auto"/>
              </w:rPr>
            </w:pPr>
          </w:p>
        </w:tc>
        <w:tc>
          <w:tcPr>
            <w:tcW w:w="43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property and equipment, net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64"/>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30,143</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(12,134)</w:t>
            </w:r>
          </w:p>
        </w:tc>
      </w:tr>
      <w:tr>
        <w:trPr>
          <w:trHeight w:val="29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depreciation expense for the three and nine months ended September 30, 2026 was $1.2 million and $3.4 million, respectively. Total depreciation expense for the three and nine months ended September 30, 2025 was $1.0 million and $2.9 million, respectively.</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Reagent license</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 use right</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28,887</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w:t>
            </w:r>
          </w:p>
        </w:tc>
      </w:tr>
      <w:tr>
        <w:trPr>
          <w:trHeight w:val="264"/>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16,697</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amortization expense for the three and nine months ended September 30, 2026 was approximately $0.9 million and $2.6 million, respectively. Total amortization expense for the three and nine months ended September 30, 2025 was approximately $0.9 million and $2.8 million, respectively. During the three and nine months ended September 30, 2026, there were no additions to goodwill, the only changes were minor foreign currency translation adjustments.</w:t>
      </w:r>
    </w:p>
    <w:p>
      <w:pPr>
        <w:spacing w:after="0" w:line="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Legal settlement liability</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7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The patents in question were determined to have an average useful life of 18 months. Accordingly, beginning with the second quarter of 2022, the remaining contractual payments were classified as operating expenses as they were considered deferred litigation settlement. The Company recorded $0.2 million and $0.6 million of interest expense for the three and nine months ended September 30, 2026, respectively, and $0.3 million and $0.8 million of interest expense for the three and nine months ended September 30, 2025,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unaudited interim consolidated balance sheets o</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 xml:space="preserve"> $8.3 million and $9.3 million as of September 30, 2026 and December 31, 2025, respectively.</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the legal settlement liability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w:t>
            </w: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legal settlement 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November 7, 2022, Cytek Wuxi entered a fixed asset loan agreement with Bank of Communications, China (the “Wuxi Loan”). The Wuxi Loan was denominated in Chinese renminbi and collateralized by Cytek Wuxi’s cash deposit to the bank. The deposit was in a separate account with Cytek Wuxi’s name, but the use of such account was restricted. The Company presented the deposit as restricted cash on the audited consolidated balance sheets as of December 31, 2022. In April 2023, the restricted cash account was released. The purchased building in Wuxi serves as collateral for the Wuxi Loan. The total loan amount was $2.9 million and the loan term is five years. As of September 30, 2026, the total outstanding loan amount is $0.7 million. The current portion of the loan, $0.6 million, is included in other current liabilities. As of September 30, 2026, the interest rate on the loan was 3.7%, which is based on the five-year Loan Prime Rate (LPR) plus a margin of 0.2%.</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October 24, 2024, the Company signed a maximum credit agreement with the Bank of China, Wuxi Branch (the “Bank of China Maximum Credit Agreement”), for 37 million Chinese renminbi (approximately US $5.2 million), which was renewed on August 26, 2025 and September 28, 2026. This credit is collateralized by Cytek Wuxi’s cash deposit to the bank. The 37 million Chinese renminbi (approximately US $5.2 million) can be borrowed, as needed, as a short-term loan for normal business operation requirements. Under the renewed Bank of China Maximum Credit Agreement, the line of credit is available until September 27, 2027. During the fourth quarter of 2024, the Company withdrew 20 million Chinese renminbi (approximately US $2.8 million) to support its operational needs. During the third quarter of 2025, the Company withdrew 15 million Chinese renminbi (approximately US $2.1 million) to support its operational needs. During the fourth quarter of 2025, the Company repaid the short-term loan of 20 million Chinese renminbi (approximately US $2.8 million) and withdrew 10 million Chinese renminbi (approximately US $1.4 million). In January 2026, the Company withdrew 10 million Chinese renminbi (approximately US $1.4 million) to support its operational needs. During the three months ended September 30, 2026, the Company repaid 15 million Chinese renminbi (approximately US $2.2 million) and withdrew an 7 million Chinese renminbi (approximately US $1.0 million). As of September 30, 2026, the remaining available credit was 10 million Chinese renminbi (approximately US $1.4 million), and the total outstanding loan balance of 27 million Chinese renminbi (approximately US $3.8 million) was included in other current liabilities. In October 2026, the Company withdrew an additional 8 million Chinese renminbi (approximately US $1.1 million) to support its operational needs.</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January 6, 2025, Cytek (Shanghai) Biosciences Co., Ltd. signed a maximum credit agreement with the Bank of Ningbo for 10 million Chinese renminbi (approximately US $1.4 million). Collateral for the credit was provided to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bank by Cytek Wuxi. In January and March of 2025, Cytek (Shanghai) Biosciences Co., Ltd. withdrew 2.0 million Chinese renminbi (approximately US $0.3 million) and 3.0 million Chinese renminbi (approximately US $0.5 million), respectively, to support its operational needs. The interest rate was at 3.1% and 2.55%, respectively, and the lines of credit are due on January 9 and March 3, 2026, respectively. In January and March 2026, the Company repaid 2.0 million Chinese renminbi (approximately US $0.3 million) and 3.0 million Chinese renminbi (approximately US $0.5 million) to the Bank of Ningbo, renewed its maximum credit agreement with the Bank of Ningbo for 10 million Chinese renminbi (approximately US $1.4 million), and withdrew 10 million Chinese renminbi (approximately US $1.4 million) to support its operational needs. The total loan amount of 10 million Chinese renminbi (approximately US $1.4 million) is included in other current liabilities.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11, 2025, Cytek Wuxi entered into a one-year loan agreement with Bank of Communications, China. The loan was denominated in Chinese renminbi and collateralized by the building purchased by Cytek Wuxi in November 2023. The total loan amount was 10 million Chinese renminbi (approximately US $1.4 million) and the interest rate was fixed at 2.8%. The loan had an effective term from June 11, 2025 to June 10, 2026. The interest expenses was paid on a monthly basis. The loan was used for operating expenses. The total loan balance of 10 million Chinese renminbi (approximately $1.4 million) was fully repaid during the second quarter of 2026.</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9, 2026, Cytek Wuxi entered into a one-year loan agreement with China Construction Bank Corporation, Wuxi Branch for 15 million Chinese renminbi (approximately US $2.2 million) at a fixed interest rate of 2.5%, with interest payable monthly. The Company drew the full loan amount in February 2026, and it is included in other current liabilities. The loan matures on February 9, 2027 and is used to pay operating expenses.</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has authorized 1,000,000,000 shares of common stock at $0.001 par value. Holders of common stock are entitled to one vote per share, and to receive dividends, only and if declared by the Company’s Board of Directors (the “Board”)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Stock-based compensation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Plans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the Company had three stock-based compensation plans (the “Plans”) which are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Equity Incentive Plan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March 2015, the Board approved the 2015 Equity Incentive Plan (the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Equity Incentive Plan</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Company’s initial public offering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September 30, 2026, the total number of shares of common stock available for issuance under the 2021 Plan was 25,161,487 shares.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As of September 30, 2026, the total number of shares of common stock available for issuance under the ESPP was 7,014,728 shares.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valuation assumptions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stock option activity during the periods indicated (in thousands except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62"/>
        </w:trPr>
        <w:tc>
          <w:tcPr>
            <w:tcW w:w="55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 (in thousands)</w:t>
            </w:r>
          </w:p>
        </w:tc>
      </w:tr>
      <w:tr>
        <w:trPr>
          <w:trHeight w:val="190"/>
        </w:trPr>
        <w:tc>
          <w:tcPr>
            <w:tcW w:w="5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6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9,140,164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r>
      <w:tr>
        <w:trPr>
          <w:trHeight w:val="26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1,715,304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(365,181)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r>
      <w:tr>
        <w:trPr>
          <w:trHeight w:val="26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9,201,347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September 30, 2026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6,321,054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September 30, 2026 and 2025 was $2.93 and $2.17 per share, respectively. The weighted-average grant date fair value of options granted during the nine months ended September 30, 2026 and 2025 was $2.69 and $2.67 per share, respectively.</w:t>
      </w:r>
    </w:p>
    <w:p>
      <w:pPr>
        <w:spacing w:after="0" w:line="68"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$8.5 million of unrecognized stock-based compensation expense related to unvested stock options. The unrecognized stock-based compensation expense is estimated to be recognized over a weighted-average period of 2.49 years.</w:t>
      </w:r>
    </w:p>
    <w:p>
      <w:pPr>
        <w:spacing w:after="0" w:line="5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and the estimated fair value of the Company’s common stock as of September 30, 2026.</w:t>
      </w:r>
    </w:p>
    <w:p>
      <w:pPr>
        <w:sectPr>
          <w:pgSz w:w="11900" w:h="16838" w:orient="portrait"/>
          <w:cols w:equalWidth="0" w:num="1">
            <w:col w:w="11240"/>
          </w:cols>
          <w:pgMar w:left="320" w:top="121" w:right="339" w:bottom="1440" w:gutter="0" w:footer="0" w:header="0"/>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RSU awards activity during the periods indicated: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18"/>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Unvested balance at December 31, 2025</w:t>
            </w:r>
          </w:p>
        </w:tc>
        <w:tc>
          <w:tcPr>
            <w:tcW w:w="1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480" w:type="dxa"/>
            <w:vAlign w:val="bottom"/>
            <w:vMerge w:val="continue"/>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4,567,103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70"/>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4,389,831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70"/>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(1,740,942)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77"/>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(1,204,243)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Unvested balance at September 30, 2026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6,011,749</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62"/>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 (in</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(in thousands)</w:t>
            </w:r>
          </w:p>
        </w:tc>
      </w:tr>
      <w:tr>
        <w:trPr>
          <w:trHeight w:val="190"/>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5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440" w:type="dxa"/>
            <w:vAlign w:val="bottom"/>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20"/>
        <w:spacing w:after="0"/>
        <w:tabs>
          <w:tab w:leader="none" w:pos="2240" w:val="left"/>
        </w:tabs>
        <w:rPr>
          <w:sz w:val="20"/>
          <w:szCs w:val="20"/>
          <w:color w:val="auto"/>
        </w:rPr>
      </w:pPr>
      <w:r>
        <w:rPr>
          <w:rFonts w:ascii="Times New Roman" w:cs="Times New Roman" w:eastAsia="Times New Roman" w:hAnsi="Times New Roman"/>
          <w:sz w:val="18"/>
          <w:szCs w:val="18"/>
          <w:color w:val="auto"/>
        </w:rPr>
        <w:t>1.49  $</w:t>
      </w:r>
      <w:r>
        <w:rPr>
          <w:sz w:val="20"/>
          <w:szCs w:val="20"/>
          <w:color w:val="auto"/>
        </w:rPr>
        <w:tab/>
      </w:r>
      <w:r>
        <w:rPr>
          <w:rFonts w:ascii="Times New Roman" w:cs="Times New Roman" w:eastAsia="Times New Roman" w:hAnsi="Times New Roman"/>
          <w:sz w:val="17"/>
          <w:szCs w:val="17"/>
          <w:color w:val="auto"/>
        </w:rPr>
        <w:t>35,830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17913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8320" w:space="100"/>
            <w:col w:w="2820"/>
          </w:cols>
          <w:pgMar w:left="320" w:top="121" w:right="339" w:bottom="1440" w:gutter="0" w:footer="0" w:header="0"/>
          <w:type w:val="continuous"/>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$26.9 million of unrecognized stock-based compensation expense related to unvested RSU awards. The unrecognized stock-based compensation expense is estimated to be recognized over a weighted-average period of 2.86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allocation of stock-based compensation expense related to the Company’s stock-based awards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1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2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Pr>
          <w:p>
            <w:pPr>
              <w:spacing w:after="0"/>
              <w:rPr>
                <w:sz w:val="16"/>
                <w:szCs w:val="16"/>
                <w:color w:val="auto"/>
              </w:rPr>
            </w:pPr>
          </w:p>
        </w:tc>
      </w:tr>
      <w:tr>
        <w:trPr>
          <w:trHeight w:val="23"/>
        </w:trPr>
        <w:tc>
          <w:tcPr>
            <w:tcW w:w="35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9"/>
        </w:trPr>
        <w:tc>
          <w:tcPr>
            <w:tcW w:w="35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7"/>
                <w:szCs w:val="17"/>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r>
      <w:tr>
        <w:trPr>
          <w:trHeight w:val="26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r>
      <w:tr>
        <w:trPr>
          <w:trHeight w:val="27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r>
      <w:tr>
        <w:trPr>
          <w:trHeight w:val="26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w:t>
            </w:r>
          </w:p>
        </w:tc>
      </w:tr>
      <w:tr>
        <w:trPr>
          <w:trHeight w:val="289"/>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weighted-average valuation assumptions used in determining the fair value of employee stock options: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2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3"/>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3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99"/>
        </w:trPr>
        <w:tc>
          <w:tcPr>
            <w:tcW w:w="4660" w:type="dxa"/>
            <w:vAlign w:val="bottom"/>
            <w:gridSpan w:val="2"/>
          </w:tcPr>
          <w:p>
            <w:pPr>
              <w:ind w:left="4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90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3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6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7"/>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8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estimating the fair value of the ESPP for the current offering period using the Black-Scholes option-pricing model:</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2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3"/>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3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0"/>
        </w:trPr>
        <w:tc>
          <w:tcPr>
            <w:tcW w:w="4660" w:type="dxa"/>
            <w:vAlign w:val="bottom"/>
            <w:gridSpan w:val="2"/>
          </w:tcPr>
          <w:p>
            <w:pPr>
              <w:ind w:left="4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90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3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6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7"/>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8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sponsors various retirement plans for its eligible U.S. and non-U.S. employees. For U.S. employees, the Company currently maintains a 401(k) retirement savings plan (“401(k) Plan”). The 401(k) Plan permits voluntary contributions by employees, a portion of which is matched by the Company. The Company’s contributions to the employee benefits plans were approximately $0.6 million and $1.7 million for the three and nine months ended September 30, 2026, respectively. The Company’s contributions to the employee benefits plans were approximately $0.5 million and $1.4 million for the three and nine months ended September 30, 2025, respectively.</w:t>
      </w:r>
    </w:p>
    <w:p>
      <w:pPr>
        <w:spacing w:after="0" w:line="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unaudited interim consolidated statements of operations and comprehensive loss. Accrued interest and penalties, if any, are included in accrued expenses in the unaudited interim consolidated balance sheet.</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effective income tax rate from continuing operations was (3.3)% and 13.0% for the nine months ended September 30, 2026 and 2025, respectively. The Company’s effective income tax rate for the nine months ended September 30, 2026, is lower than the U.S. federal statutory tax rate due to valuation allowance, which derecognizes deferred tax assets and related future tax benefits, partially offset by the impact of state income taxes, naked credits related to indefinitely lived goodwill, and the Company’s mix of earnings between various taxing jurisdictions. The Company’s effective income tax rate for the nine months ended September 30, 2025, was lower than the U.S. federal statutory tax rate primarily due to the impact of non-deductible stock-based compensation, the Company’s mix of earnings between various taxing jurisdictions, partially offset by a deduction for stock compensation, and federal and state research credits.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maintained a valuation allowance against all deferred tax assets as Management believed these were not more likely than not to be realized. The Company continues to reassess the valuation allowance quarterly, and if future evidence allows for a partial or full release of the valuation allowance, a tax benefit will be recorded accordingly.</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July 4, 2025, legislation commonly referred to as the One Big Beautiful Bill Act (“OBBBA”) was signed into law in the U.S. The OBBBA includes significant changes to the U.S. Internal Revenue Code of 1986, as amended, including restoration of immediate deductions of domestic research and experimental expenditures and reinstatement of 100% bonus depreciation for qualifying property. The Company continues to evaluate the impact of the OBBBA on its unaudited interim consolidated financial statements, including the effects on its deferred tax assets and liabilities. The provisions of the OBBBA will allow a deduction for unamortized domestic research and development expenses of approximately $58 million in 2025, which will decrease taxable income and eliminate permanent deductions for Global Intangible Low-Taxed Income and Foreign Derived Intangible Income, causing an increase in the effective tax rate. In addition, there will be an impact in future years due to changes in these two deductions that are not expected to have a material impact to the Company.</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income tax expenses consists primarily of provision for foreign taxes. As the Company plans to expand the scale and scope of its international business activities, any changes in the United States and foreign taxation of such activities may increase the Company’s overall provision for income taxes in the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the benefit from income taxes for the three months ended September 30, 2026 and 2025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0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color w:val="auto"/>
              </w:rPr>
              <w:t>(Benefit from) provision for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1,480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10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4,544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49"/>
        </w:trPr>
        <w:tc>
          <w:tcPr>
            <w:tcW w:w="2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3"/>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3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tax benefit was $0.8 million for the three months ended September 30, 2026, as compared to an income tax benefit of $2.3 million for the three months ended September 30, 2025. The net increase in expense of $1.5 million for the three months ended September 30, 2026, was primarily due to the domestic valuation allowance established in the last quarter of 2025, which negates the tax benefit from losses within the U.S. jurisdiction for the current period.</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tax expense was $1.2 million for the nine months ended September 30, 2026, as compared to an income tax benefit of $3.3 million for the nine months ended September 30, 2025. The net increase in expense of $4.5 million for the nine months ended September 30, 2026, was primarily due to domestic valuation allowance established in the last quarter of 2025, which negates the tax benefit from losses within the U.S. jurisdiction for the current period.</w:t>
      </w:r>
    </w:p>
    <w:p>
      <w:pPr>
        <w:spacing w:after="0" w:line="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tab/>
        <w:t>Lease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which is the date on which the terms of the contract are agreed to, and the agreement creates enforceable rights and obligations. Under ASC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leases office facilities and equipment from unrelated parties under operating lease agreements that have initial terms ranging from 1 to 12 years. Some leases include one or more options to renew, generally at the Company’s sole discretion, with renewal terms that can extend the lease term up to 10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The components of lease expense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8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17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p>
      <w:pPr>
        <w:spacing w:after="0" w:line="63" w:lineRule="exact"/>
        <w:rPr>
          <w:sz w:val="20"/>
          <w:szCs w:val="20"/>
          <w:color w:val="auto"/>
        </w:rPr>
      </w:pPr>
    </w:p>
    <w:p>
      <w:pPr>
        <w:ind w:left="180"/>
        <w:spacing w:after="0"/>
        <w:tabs>
          <w:tab w:leader="none" w:pos="8180" w:val="left"/>
          <w:tab w:leader="none" w:pos="9160" w:val="left"/>
          <w:tab w:leader="none" w:pos="9760" w:val="left"/>
          <w:tab w:leader="none" w:pos="10740" w:val="left"/>
        </w:tabs>
        <w:rPr>
          <w:sz w:val="20"/>
          <w:szCs w:val="20"/>
          <w:color w:val="auto"/>
        </w:rPr>
      </w:pPr>
      <w:r>
        <w:rPr>
          <w:rFonts w:ascii="Times New Roman" w:cs="Times New Roman" w:eastAsia="Times New Roman" w:hAnsi="Times New Roman"/>
          <w:sz w:val="18"/>
          <w:szCs w:val="18"/>
          <w:color w:val="auto"/>
        </w:rPr>
        <w:t>Operating cash outflows - payments on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2,621</w:t>
        <w:tab/>
        <w:t>$</w:t>
      </w:r>
      <w:r>
        <w:rPr>
          <w:sz w:val="20"/>
          <w:szCs w:val="20"/>
          <w:color w:val="auto"/>
        </w:rPr>
        <w:tab/>
      </w:r>
      <w:r>
        <w:rPr>
          <w:rFonts w:ascii="Times New Roman" w:cs="Times New Roman" w:eastAsia="Times New Roman" w:hAnsi="Times New Roman"/>
          <w:sz w:val="17"/>
          <w:szCs w:val="17"/>
          <w:color w:val="auto"/>
        </w:rPr>
        <w:t>3,144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p>
      <w:pPr>
        <w:spacing w:after="0" w:line="63" w:lineRule="exact"/>
        <w:rPr>
          <w:sz w:val="20"/>
          <w:szCs w:val="20"/>
          <w:color w:val="auto"/>
        </w:rPr>
      </w:pPr>
    </w:p>
    <w:p>
      <w:pPr>
        <w:ind w:left="180"/>
        <w:spacing w:after="0"/>
        <w:tabs>
          <w:tab w:leader="none" w:pos="8180" w:val="left"/>
          <w:tab w:leader="none" w:pos="9160" w:val="left"/>
          <w:tab w:leader="none" w:pos="9760" w:val="left"/>
          <w:tab w:leader="none" w:pos="10740" w:val="left"/>
        </w:tabs>
        <w:rPr>
          <w:sz w:val="20"/>
          <w:szCs w:val="20"/>
          <w:color w:val="auto"/>
        </w:rPr>
      </w:pPr>
      <w:r>
        <w:rPr>
          <w:rFonts w:ascii="Times New Roman" w:cs="Times New Roman" w:eastAsia="Times New Roman" w:hAnsi="Times New Roman"/>
          <w:sz w:val="18"/>
          <w:szCs w:val="18"/>
          <w:color w:val="auto"/>
        </w:rPr>
        <w:t>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1,266</w:t>
        <w:tab/>
        <w:t>$</w:t>
      </w:r>
      <w:r>
        <w:rPr>
          <w:sz w:val="20"/>
          <w:szCs w:val="20"/>
          <w:color w:val="auto"/>
        </w:rPr>
        <w:tab/>
      </w:r>
      <w:r>
        <w:rPr>
          <w:rFonts w:ascii="Times New Roman" w:cs="Times New Roman" w:eastAsia="Times New Roman" w:hAnsi="Times New Roman"/>
          <w:sz w:val="17"/>
          <w:szCs w:val="17"/>
          <w:color w:val="auto"/>
        </w:rPr>
        <w:t>3,947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 of amortization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in other current liabilities: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14,042</w:t>
            </w:r>
          </w:p>
        </w:tc>
      </w:tr>
      <w:tr>
        <w:trPr>
          <w:trHeight w:val="288"/>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rPr>
              <w:t>5.36</w:t>
            </w:r>
          </w:p>
        </w:tc>
      </w:tr>
      <w:tr>
        <w:trPr>
          <w:trHeight w:val="270"/>
        </w:trPr>
        <w:tc>
          <w:tcPr>
            <w:tcW w:w="8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w w:val="95"/>
              </w:rPr>
              <w:t>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5"/>
              </w:rPr>
              <w:t>4.5%</w:t>
            </w:r>
          </w:p>
        </w:tc>
      </w:tr>
    </w:tbl>
    <w:p>
      <w:pPr>
        <w:spacing w:after="0" w:line="18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 sheet as of September 30, 2026 is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r>
      <w:tr>
        <w:trPr>
          <w:trHeight w:val="27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7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64"/>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70"/>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w:t>
            </w:r>
          </w:p>
        </w:tc>
      </w:tr>
      <w:tr>
        <w:trPr>
          <w:trHeight w:val="25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88"/>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cloud computing and other information technology services. As of September 30, 2026, future payments under these contractual obligations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4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2"/>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and claims. The Company assesses legal contingencies to determine the degree of probability and range of possible loss for potential accrual in its financial statements. When evaluating legal contingencies, the Company may be unable to provide a reasonable estimate due to a number of factors, including the procedural status of the matter in question, the presence of complex legal theories, and/or the ongoing development of information important to the matters. In addition, damage amounts claimed in litigation or other matters may be unsupported, exaggerated or unrelated to possible outcomes, and as such are not meaningful indicators of its potential liability. The Company records a liability for those legal proceedings when it determines it is probable that a loss has been incurred and the amount of the loss can be reasonably estimated. Any legal proceeding is inherently uncertain, and the outcome of any proceeding is not determinable in advance. Significant judgment is required to</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determine the probability of a loss and whether the amount of the loss is reasonably estimated. The assessment of a potential liability and the amount of accruals, if any, recorded are based on the information available at the time.</w:t>
      </w:r>
    </w:p>
    <w:p>
      <w:pPr>
        <w:spacing w:after="0" w:line="54"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On August 14, 2024, Beckman Coulter, Inc. (“Beckman Coulter”) sued the Company in federal court in the District of Delaware (the “Beckman Coulter Litigation”), alleging that the Company’s Cytek Aurora flow cytometers, Aurora CS cell sorters, and Northern Lights and Northern Lights-CLC products infringe U.S. Patent Nos. 10,330,582 and 11,703,443, each titled “Flow Cytometer.” On October 7, 2024, the Company filed an answer denying any liability and including a counterclaim against Beckman Coulter for false patent marking. On October 28, 2024, Beckman Coulter filed an answer to the counterclaim, denying liability. On January 9, 2025, Beckman Coulter filed a first amended complaint, further alleging that the Company’s Cytek Aurora flow cytometers, Aurora CS cell sorters, and Northern Lights and Northern Lights-CLC products also infringe U.S. Patent Nos. 12,174,106 and 12,174,107, each of which is also titled “Flow Cytometer” and related to the earlier asserted patents. On February 6, 2025, the Company filed an answer to the first amended complaint, denying any liability and including a counterclaim against Beckman Coulter for false patent marking. On February 27, 2025, Beckman Coulter filed an answer to the counterclaim, denying liability. Claim construction hearings were held on August 21, 2025 and September 17, 2025. At the second claim construction hearing, the court ordered Beckman Coulter to narrow the number of asserted claims, and Beckman Coulter dropped all asserted claims from U.S. Patent No. 12,174,106. In March 2026, the parties stipulated to dismissal without prejudice of the counterclaim for false patent marking. The parties filed summary judgment and Daubert motions in March 2026. In July 2026, the court granted the Company’s Daubert motions and denied both Beckman Coulter’s summary judgment motions and the Company’s summary judgment motions. A jury trial was held from August 17 through August 21, 2026. On August 21, 2026, the jury returned a verdict, finding in the Company’s favor on three of the four asserted patent claims, finding non-infringement and invalidity as to each of those three claims. With respect to one claim, the jury found no literal infringement but found infringement under the doctrine of equivalents. The jury awarded past damages through September 30, 2025 consisting of $20 million in lost profits and $36.11 million in royalties, and a judgment on the verdict was entered on September 15, 2026. The judgment is not final while post-trial motions remain pending, and the Company has identified grounds for relief through post-trial motions and appeal. On October 13, 2026, the Company filed post-trial motions, including a renewed motion for judgment as a matter of law of non-infringement and invalidity and, in the alternative, a motion for a new trial on certain issues, seeking to overturn the jury verdict. The Company may also pursue other available post-trial remedies, including potentially an appeal to the United States Court of Appeals for the Federal Circuit. On October 13, 2026, Beckman Coulter also filed post-trial motions seeking judgment as a matter of law or, in the alternative, a new trial on certain issues the jury decided in the Company’s favor, and seeking additional monetary relief, including pre- and post-judgment interest, supplemental damages for the period from October 1, 2025 through September 15, 2026, and an ongoing royalty through the expiration of U.S. Patent No. 10,330,582. The Company intends to file oppositions to the motions. Management’s estimate for the reasonably possible loss related to this matter includes the $56.11 million in damages awarded by the jury, plus potential pre- and post-judgment interest, supplemental damages for any period after September 30, 2025 not covered by the verdict, and any court-ordered ongoing royalty. The Company cannot currently reasonably estimate the amount of any such interest, supplemental damages or ongoing royalty, which will depend on, among other things, the court’s rulings on the parties’ post-trial motions. In addition, as the Company is a party to ongoing litigation, it is at least reasonably possible that the Company’s estimates will change in the near term, and the effect may be material. Given that the Company has concluded that the risk of loss from this matter is reasonably possible but not probable, the Company has not accrued a liability as a result of the jury verdict. The Company will continue to reassess this conclusion as the post-trial proceedings and any appeal progress.</w:t>
      </w:r>
    </w:p>
    <w:p>
      <w:pPr>
        <w:spacing w:after="0" w:line="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Product warranty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activity in the product warranty accrual included in accrued expenses on the unaudited interim consolidated balance sheets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8"/>
              </w:rPr>
              <w:t>1,796</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current year warranties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center"/>
              <w:ind w:left="616"/>
              <w:spacing w:after="0"/>
              <w:rPr>
                <w:sz w:val="20"/>
                <w:szCs w:val="20"/>
                <w:color w:val="auto"/>
              </w:rPr>
            </w:pPr>
            <w:r>
              <w:rPr>
                <w:rFonts w:ascii="Times New Roman" w:cs="Times New Roman" w:eastAsia="Times New Roman" w:hAnsi="Times New Roman"/>
                <w:sz w:val="18"/>
                <w:szCs w:val="18"/>
                <w:color w:val="auto"/>
                <w:w w:val="98"/>
              </w:rPr>
              <w:t>1,098</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cost incurred</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rPr>
              <w:t>(1,437)</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8"/>
              </w:rPr>
              <w:t>1,457</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Net loss attributable to common stockholders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(in thousands except share and per share data):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6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(22,463)</w:t>
            </w:r>
          </w:p>
        </w:tc>
      </w:tr>
      <w:tr>
        <w:trPr>
          <w:trHeight w:val="27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130,358,484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127,547,859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129,514,036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127,604,317</w:t>
            </w:r>
          </w:p>
        </w:tc>
      </w:tr>
      <w:tr>
        <w:trPr>
          <w:trHeight w:val="277"/>
        </w:trPr>
        <w:tc>
          <w:tcPr>
            <w:tcW w:w="52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6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1"/>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Because the Company had a net loss during the three months ended September 30, 2026 and 2025, 1.8 million and 1.2 million shares for the three months ended September 30, 2026 and 2025, respectively, were dilutive, but were not included in the computation of diluted net loss per share because their inclusion would have been anti-dilutive. Of these dilutive shares, approximately 0.9 million and 0.1 million shares related to RSUs, 0.8 million and 1.0 million shares related to stock options, and 0.02 million and 0.1 million shares related to the ESPP for the three months ended September 30, 2026 and 2025, respectively. Therefore, basic net loss per share is the same as diluted net loss per share.</w:t>
      </w:r>
    </w:p>
    <w:p>
      <w:pPr>
        <w:spacing w:after="0" w:line="211"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Company had a net loss during the nine months ended September 30, 2026 and 2025, 1.8 million and 1.4 million shares for the nine months ended September 30, 2026 and 2025, respectively, were dilutive, but were not included in the computation of diluted net loss per share because their inclusion would have been anti-dilutive. Of these dilutive shares, approximately 0.9 million and 0.09 million shares related to RSUs, 0.9 million and 1.2 million shares related to stock options, and 0.01 million and 0.1 million shares related to the ESPP for the nine months ended September 30, 2026 and 2025, respectively. Therefore, basic net loss per share is the same as diluted net loss per share.</w:t>
      </w:r>
    </w:p>
    <w:p>
      <w:pPr>
        <w:spacing w:after="0" w:line="329" w:lineRule="exact"/>
        <w:rPr>
          <w:sz w:val="20"/>
          <w:szCs w:val="20"/>
          <w:color w:val="auto"/>
        </w:rPr>
      </w:pPr>
    </w:p>
    <w:p>
      <w:pPr>
        <w:ind w:right="7480" w:firstLine="8"/>
        <w:spacing w:after="0" w:line="378" w:lineRule="auto"/>
        <w:tabs>
          <w:tab w:leader="none" w:pos="40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and Geographic Data Segment Information</w:t>
      </w: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activities on a consolidated basis and has one operating and reportable segment, as defined under ASC 280, Segment Reporting. Operating segments are defined as components of an enterprise where separate financial information is evaluated regularly by the Chief Operating Decision Maker (“CODM”), who decides how to allocate resources and assess performance. The Company’s Chief Executive Officer serves as the CODM and is responsible for evaluating the Company’s financial performance and allocating resources. The CODM uses net income as the measure of profit or loss to allocate resources, assess performance, and monitor budgets against actual results.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Further, the CODM reviews the significant segment expenses in the table below on net loss when assessing performance and allocating resources, as well as those used for strategic decisions related to headcount and capital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expenditures. The measure of segment assets is reported on the balance sheet as total assets. The CODM does not review segment assets at a level other than that presented in the Company’s unaudited interim consolidated balance sheets.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the Company’s significant segment expenses:</w:t>
      </w:r>
    </w:p>
    <w:p>
      <w:pPr>
        <w:spacing w:after="0" w:line="200" w:lineRule="exact"/>
        <w:rPr>
          <w:sz w:val="20"/>
          <w:szCs w:val="20"/>
          <w:color w:val="auto"/>
        </w:rPr>
      </w:pPr>
    </w:p>
    <w:p>
      <w:pPr>
        <w:spacing w:after="0" w:line="329"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2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37,161</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38,114</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98,496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97,639</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41,713</w:t>
            </w:r>
          </w:p>
        </w:tc>
        <w:tc>
          <w:tcPr>
            <w:tcW w:w="0" w:type="dxa"/>
            <w:vAlign w:val="bottom"/>
          </w:tcPr>
          <w:p>
            <w:pPr>
              <w:spacing w:after="0"/>
              <w:rPr>
                <w:sz w:val="1"/>
                <w:szCs w:val="1"/>
                <w:color w:val="auto"/>
              </w:rPr>
            </w:pP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139,352</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(excluding stock-based compensation)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63,219</w:t>
            </w:r>
          </w:p>
        </w:tc>
        <w:tc>
          <w:tcPr>
            <w:tcW w:w="0" w:type="dxa"/>
            <w:vAlign w:val="bottom"/>
          </w:tcPr>
          <w:p>
            <w:pPr>
              <w:spacing w:after="0"/>
              <w:rPr>
                <w:sz w:val="1"/>
                <w:szCs w:val="1"/>
                <w:color w:val="auto"/>
              </w:rPr>
            </w:pPr>
          </w:p>
        </w:tc>
      </w:tr>
      <w:tr>
        <w:trPr>
          <w:trHeight w:val="22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 license &amp; IP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23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(excluding stock-based compensation)</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24,646</w:t>
            </w: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(excluding stock-based compensation)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8,221</w:t>
            </w:r>
          </w:p>
        </w:tc>
        <w:tc>
          <w:tcPr>
            <w:tcW w:w="0" w:type="dxa"/>
            <w:vAlign w:val="bottom"/>
          </w:tcPr>
          <w:p>
            <w:pPr>
              <w:spacing w:after="0"/>
              <w:rPr>
                <w:sz w:val="1"/>
                <w:szCs w:val="1"/>
                <w:color w:val="auto"/>
              </w:rPr>
            </w:pPr>
          </w:p>
        </w:tc>
      </w:tr>
      <w:tr>
        <w:trPr>
          <w:trHeight w:val="178"/>
        </w:trPr>
        <w:tc>
          <w:tcPr>
            <w:tcW w:w="42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Research and development (excluding stock-based</w:t>
            </w: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23,401</w:t>
            </w:r>
          </w:p>
        </w:tc>
        <w:tc>
          <w:tcPr>
            <w:tcW w:w="0" w:type="dxa"/>
            <w:vAlign w:val="bottom"/>
          </w:tcPr>
          <w:p>
            <w:pPr>
              <w:spacing w:after="0"/>
              <w:rPr>
                <w:sz w:val="1"/>
                <w:szCs w:val="1"/>
                <w:color w:val="auto"/>
              </w:rPr>
            </w:pPr>
          </w:p>
        </w:tc>
      </w:tr>
      <w:tr>
        <w:trPr>
          <w:trHeight w:val="129"/>
        </w:trPr>
        <w:tc>
          <w:tcPr>
            <w:tcW w:w="4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26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28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General and administrative (excluding stock-based</w:t>
            </w: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15,973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13,498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46,139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34,140</w:t>
            </w:r>
          </w:p>
        </w:tc>
        <w:tc>
          <w:tcPr>
            <w:tcW w:w="0" w:type="dxa"/>
            <w:vAlign w:val="bottom"/>
          </w:tcPr>
          <w:p>
            <w:pPr>
              <w:spacing w:after="0"/>
              <w:rPr>
                <w:sz w:val="1"/>
                <w:szCs w:val="1"/>
                <w:color w:val="auto"/>
              </w:rPr>
            </w:pPr>
          </w:p>
        </w:tc>
      </w:tr>
      <w:tr>
        <w:trPr>
          <w:trHeight w:val="12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2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2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19,059</w:t>
            </w:r>
          </w:p>
        </w:tc>
        <w:tc>
          <w:tcPr>
            <w:tcW w:w="0" w:type="dxa"/>
            <w:vAlign w:val="bottom"/>
          </w:tcPr>
          <w:p>
            <w:pPr>
              <w:spacing w:after="0"/>
              <w:rPr>
                <w:sz w:val="1"/>
                <w:szCs w:val="1"/>
                <w:color w:val="auto"/>
              </w:rPr>
            </w:pPr>
          </w:p>
        </w:tc>
      </w:tr>
      <w:tr>
        <w:trPr>
          <w:trHeight w:val="22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(12,326)</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segment items include other income (expenses) and interest income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sells its products worldwide and attributes revenue to the geography where the product is delivered. The geographical distribution of revenue for the three and nine months ended September 30, 2026 and 2025 was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0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49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9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69,630</w:t>
            </w:r>
          </w:p>
        </w:tc>
      </w:tr>
      <w:tr>
        <w:trPr>
          <w:trHeight w:val="26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36,260</w:t>
            </w:r>
          </w:p>
        </w:tc>
      </w:tr>
      <w:tr>
        <w:trPr>
          <w:trHeight w:val="27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r>
      <w:tr>
        <w:trPr>
          <w:trHeight w:val="26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w:t>
            </w:r>
          </w:p>
        </w:tc>
      </w:tr>
      <w:tr>
        <w:trPr>
          <w:trHeight w:val="28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139,352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EMEA includes Europe, the Middle East and Africa; APAC includes Asia and the Pacific countries; Other includes Canada and Latin America.</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revenue, a major country is defined as a group of customers in a country with combined revenue of greater than 10% of consolidated revenue or as otherwise deemed significant. Revenue in China was approximately $4.3 million and $12.7 million for the three and nine months ended September 30, 2026, respectively, and was approximately $5.3 million and $14.2 million for the three and nine months ended September 30, 2025, respectively. China is separately presented for comparative purposes, as its revenue exceeded 10% of consolidated revenue in the prior-year periods. Other than the United States and China, no other country represented greater than 10% of the Company’s consolidated net sales or was otherwise deemed significant. For the three and nine months ended September 30, 2026 and 2025, the Company had no major customers that represented more than 10% of the Company’s total revenue. No customer represented more than 10% of net accounts receivable as of September 30, 2026 and 2025.</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Company’s long-lived assets by geographic area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1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r>
      <w:tr>
        <w:trPr>
          <w:trHeight w:val="26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8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8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w:t>
            </w:r>
          </w:p>
        </w:tc>
      </w:tr>
      <w:tr>
        <w:trPr>
          <w:trHeight w:val="26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20,614</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18,009</w:t>
            </w:r>
          </w:p>
        </w:tc>
      </w:tr>
      <w:tr>
        <w:trPr>
          <w:trHeight w:val="27"/>
        </w:trPr>
        <w:tc>
          <w:tcPr>
            <w:tcW w:w="61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and December 31, 2025, most of the Company’s long-lived assets were located in the United States and in Wuxi,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2025 and the related Management’s Discussion and Analysis of Financial Condition and Results of Operations, both of which are contained in our Annual Report on Form 10-K filed with the Securities and Exchange Commission (the “SEC”) on February 26, 2026. Unless the context requires otherwise, references in this Quarterly Report on Form 10-Q to “we,” “us” and “our” refer to Cytek Biosciences,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platform includes instruments, accessories, reagents, software and services to provide a comprehensive and integrated suite of cell analysis solutions for our customers.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manufacture our instruments in our facilities in Fremont, California; Wuxi, China; and Singapore. We have designed our operating model to be capital efficient and to scale efficiently as our product volumes grow.</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revenue for the three and nine months ended September 30, 2026 was $53.2 million and $145.5 million, respectively, representing a 2% and 4% increase over the three and nine months ended September 30, 2025 of $52.3 million and $139.4 million, respectively.</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79% and 73% of total revenue for the three and nine months ended September 30, 2026, respectively, and 72% and 73% of total revenue for the three and nine months ended September 30, 2025, respectively. Revenue from distributors represented 21% and 27% of total revenue for the three and nine months ended September 30, 2026, respectively, and 28% and 27% of total revenue for the three and nine months ended September 30, 2025, respectively.</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$9.4 million and $28.7 million for the three and nine months ended September 30, 2026, respectively, and $9.0 million and $27.5 million for the three and nine months ended September 30, 2025, respectively. We intend to continue to make significant investments in research and development in the future.</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 $11.9 million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$36.7 million for the three and nine months ended September 30, 2026, respectively, and $11.7 million and $36.3 million for the three and nine months ended September 30, 2025, respectively.</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Since our inception in 2014, we have financed our operations primarily through sales of our securities and revenue from the sale of our products and services.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net loss was $6.1 million and $37.1 million for the three and nine months ended September 30, 2026, respectively, and $5.5 million and $22.5 million for the three and nine months ended September 30, 2025, respectively. The change for the three and nine months ended September 30, 2026 compared to the three and nine months ended September 30, 2025, resulted primarily from an increase in revenues and gross profit as well as an increase in operating expenses.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our expenses will increase substantially in connection with our ongoing activities, as we:</w:t>
      </w:r>
    </w:p>
    <w:p>
      <w:pPr>
        <w:spacing w:after="0" w:line="117"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processes, commercial infrastructure and supporting functions to scale our business and introduce new products and services;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research and development efforts;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geographically;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complementary businesses, services, products or technologies.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future performance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risks and uncertainties, including those described under the heading “Risk Factors” included elsewhere in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customer adoption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We intend to continue increasing our workforce to support our growth.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mix and gross margin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revenue is primarily derived from sales of our instruments and services with our instruments recognizing higher revenue and gross profit than our services. Although we expect sales of our instruments to continue to represent the largest percentage of our revenue in the future, we expect service revenue to increase as a percentage of our total revenue and our gross margins to experience a corresponding improvement as we grow our installed base and increase our focus on leveraging our fixed manufacturing and service overhead costs. Our sales in certain regions, particularly outside of the United States, are largely realized through third-party distribution partners that typically receive discounted prices, thus resulting in lower gross margins than those recognized by our direct sales organization. Furthermore, our instrument selling prices and gross margins may fluctuate in the future due to the impact of competing products entering the market and fluctuating foreign exchange rates and as we continue to introduce new products and reduce our production costs.</w:t>
      </w:r>
    </w:p>
    <w:p>
      <w:pPr>
        <w:spacing w:after="0" w:line="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near term, we expect the continued leveraging of fixed manufacturing and service overhead costs, optimization of our manufacturing processes, and material cost fluctuations to have the greatest impact on our gross margin.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into new markets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key opinion leaders (“KOLs”) and industry partners. We plan to continue to invest in new product development and enhancements to support our expansion into new markets.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Northern Lights-CLC system received CE Marking under the European Union In Vitro Diagnostic Medical Devices Directive in September 2020 and was registered in the European Union in compliance with Regulation (EU) 2017/746 on In Vitro Diagnostic Medical Devices in November 2023. The Northern Lights-CLC system was also registered as a Class II In Vitro Diagnostic Medical Device in China. These registrations enable the Northern Lights-CLC system to be marketed for clinical use in China, the European Union and in other countries around the world that accept the Certification of Free Sale issued from an EU Competent Authority.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2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0" w:type="dxa"/>
            <w:vAlign w:val="bottom"/>
          </w:tcPr>
          <w:p>
            <w:pPr>
              <w:spacing w:after="0"/>
              <w:rPr>
                <w:sz w:val="1"/>
                <w:szCs w:val="1"/>
                <w:color w:val="auto"/>
              </w:rPr>
            </w:pPr>
          </w:p>
        </w:tc>
      </w:tr>
      <w:tr>
        <w:trPr>
          <w:trHeight w:val="20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1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 sales channel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101,112</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70"/>
        </w:trPr>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Distributor channel</w:t>
            </w: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38,240</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3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139,352</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mix</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Academia and 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60,568</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56,677</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0" w:type="dxa"/>
            <w:vAlign w:val="bottom"/>
          </w:tcPr>
          <w:p>
            <w:pPr>
              <w:spacing w:after="0"/>
              <w:rPr>
                <w:sz w:val="1"/>
                <w:szCs w:val="1"/>
                <w:color w:val="auto"/>
              </w:rPr>
            </w:pPr>
          </w:p>
        </w:tc>
      </w:tr>
      <w:tr>
        <w:trPr>
          <w:trHeight w:val="225"/>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Biotechnology, pharmaceutical,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distributor and contract research</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41"/>
        </w:trPr>
        <w:tc>
          <w:tcPr>
            <w:tcW w:w="3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organizations</w:t>
            </w: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139,352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Distributors typically sell to end customers identified in other customer categories.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Events and Uncertainties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business, results of operations and financial condition are dependent on both domestic and global macroeconomic conditions.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Recent inflation trends may adversely affect our business and corresponding financial position and cash flows. Inflationary factors, such as increases in the cost of materials and supplies, labor and benefit costs and overhead costs may adversely affect our operating results. Although we do not believe that inflation has had a material impact on our financial position or results of operations to date, we may experience increases in the near future (especially if the rate of inflation increases) on our operating costs, including our labor costs, research and development costs and supply chain costs, due to inflationary pressures as well as supply chain constraints, consequences associated with future public health crises, and geopolitical trends, changes or events such as the ongoing conflict between Russia and Ukraine and the conflicts in the Middle East. In addition, such factors and events could also have a negative impact on demand for the Company’s products and services.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our pharmaceutical and biotech customers based in the United States have been impacted by the difficult fundraising environment for small companies and generally high interest rates. We believe these factors contribute to longer sales cycles, which have in the past adversely impacted our operating results for certain quarterly periods, and may adversely affect our operating results in the future.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Since 2025, the U.S. government has made and continues to signal additional changes to existing U.S. trade policies, including imposing and announcing plans for tariffs on all U.S. trading partners, including China, and renegotiating or potentially terminating existing bilateral and multi-lateral trade agreements. In February 2026, the U.S. Supreme Court issued a ruling invalidating certain tariffs previously imposed by the U.S. government under the International Emergency Economic Powers Act (“IEEPA”); following this ruling, we applied for certain tariff refunds, which have been received as of the date hereof.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Although we cannot predict the ultimate extent to which the United States or other countries will impose quotas, duties, reciprocal tariffs, taxes, or other similar restrictions upon the import or export of our products, nor can we predict future trade policy or the terms of any renegotiated trade agreements and their impact on our business, the U.S. government’s imposition of tariffs as well as threatened and actual retaliatory tariffs against U.S. goods may have a negative impact on our revenue and costs in the future. The U.S. government recently increased tariffs rates applicable to certain imports from Singapore and China from 10% to 12.5%; while we do not currently anticipate a material impact on the Company’s results of operations, we cannot predict whether these or other tariff rates applicable to our supply chain will change further, or the ultimate impact any such changes may have on our business.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license and export controls announced by the U.S. government in January 2025 that impact exports of certain products and technology, including high-parameter and spectral flow cytometers and cell sorters and certain mass spectrometry equipment to certain countries, including China, may have a negative impact on our research and development activities, manufacturing and business operations.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Finally, changes in the U.S. National Institutes of Health (“NIH”) policy with respect to grants for academic research have impacted and may continue to impact our revenue from academic and government customers in the near term.</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a further discussion of trends, events, uncertainties and other factors that could impact our operating results, see the section titled “Risk Factors” in Item 1A of Part II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currently generate our total revenue, net from product revenue and service revenue.</w:t>
      </w:r>
    </w:p>
    <w:p>
      <w:pPr>
        <w:spacing w:after="0" w:line="11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Our product revenue primarily consists of sales of our instruments, including the Cytek Aurora, Northern Lights, Cytek Aurora Evo,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Aurora CS, Aurora Borealis, Amnis and Guava systems, instrument accessories, such as loaders, and consumables, such as reagents. We offer multiple versions of our FSP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7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our revenue to increase in absolute dollars as we expand our sales organization and sales territories, broaden our customer base, and expand awareness of our products with new and existing customers. Our revenue was $53.2 million and $52.3 million for the three months ended September 30, 2026 and 2025, respectively, and $145.5 million and $139.4 million for the nine months ended September 30, 2026 and 2025, respectively.</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total cost of sales is comprised of product cost of sales and service cost of sales.</w:t>
      </w:r>
    </w:p>
    <w:p>
      <w:pPr>
        <w:spacing w:after="0" w:line="11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Cost of sales associated with our products primarily consist of manufacturing-related costs incurred in the production process,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write-downs, warranty costs, third party royalty costs, personnel and related costs, costs of component materials, overhead, packaging and delivery and depreciation expense.</w:t>
      </w:r>
    </w:p>
    <w:p>
      <w:pPr>
        <w:spacing w:after="0" w:line="6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Cost of sales associated with our services primarily consists of personnel and related costs, expenses related to product replacements,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updates and qualification validation of our products and depreciation expense.</w:t>
      </w:r>
    </w:p>
    <w:p>
      <w:pPr>
        <w:spacing w:after="0" w:line="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and our cost structure for manufacturing operations relative to volume and product warranty obligations.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operating expenses are primarily comprised of research and development, sales and marketing, and general and administrative expenses, depreciation and amortization, and related overhead.</w:t>
      </w:r>
    </w:p>
    <w:p>
      <w:pPr>
        <w:spacing w:after="0" w:line="52"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primarily consist of salaries, benefits,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research and development department, independent contractor costs, laboratory supplies, equipment maintenance and materials expenses.</w:t>
      </w:r>
    </w:p>
    <w:p>
      <w:pPr>
        <w:spacing w:after="0" w:line="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Research and development expense may increase in absolute dollars in future periods due to our continuing investment in product development.</w:t>
      </w:r>
    </w:p>
    <w:p>
      <w:pPr>
        <w:spacing w:after="0" w:line="5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consist primarily of salaries, benefits, and stock-based compensation costs for employees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sales and marketing department, sales commissions, marketing material costs, travel expenses and costs related to trade shows, trainings and various workshops. Sales and marketing expense may increase in absolute dollars in future periods.</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primarily consist of salaries, benefits, and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executive, accounting and finance, legal and human resource functions, as well as professional services fees, such as consulting, audit, tax, legal, general corporate costs and allocated overhead expenses. The Company is focused on controlling its general and administrative expenses; however, these may increase in absolute dollars in future periods.</w:t>
      </w:r>
    </w:p>
    <w:p>
      <w:pPr>
        <w:spacing w:after="0" w:line="7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these expenses to vary from period to period as a percentage of revenue. As a result, our historical results of operations may not be indicative of our results of operations in future periods.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accretion of the present value of the litigation settlement liability. See Note 10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unaudited interim consolidated financial statements included elsewhere in this Quarterly Report on Form 10-Q for further details regarding the settlement.</w:t>
      </w:r>
    </w:p>
    <w:p>
      <w:pPr>
        <w:spacing w:after="0" w:line="5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consists primarily of interest earned on our cash and cash equivalents which are invested in cash deposits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funds.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Our other income, net consists primarily of foreign exchange gains and losses.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provision for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2026 and 2025</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unaudited interim consolidated financial statements and related notes included elsewhere in this Quarterly Report on Form 10-Q.</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unaudited interim consolidated results of operations and comprehensive loss data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13"/>
          </w:tcPr>
          <w:p>
            <w:pPr>
              <w:jc w:val="center"/>
              <w:ind w:right="308"/>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20" w:type="dxa"/>
            <w:vAlign w:val="bottom"/>
            <w:tcBorders>
              <w:bottom w:val="single" w:sz="8" w:color="auto"/>
            </w:tcBorders>
            <w:gridSpan w:val="1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37,161</w:t>
            </w:r>
          </w:p>
        </w:tc>
        <w:tc>
          <w:tcPr>
            <w:tcW w:w="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38,114</w:t>
            </w:r>
          </w:p>
        </w:tc>
        <w:tc>
          <w:tcPr>
            <w:tcW w:w="720" w:type="dxa"/>
            <w:vAlign w:val="bottom"/>
            <w:gridSpan w:val="3"/>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98,496</w:t>
            </w:r>
          </w:p>
        </w:tc>
        <w:tc>
          <w:tcPr>
            <w:tcW w:w="10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14,179</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w:t>
            </w:r>
          </w:p>
        </w:tc>
        <w:tc>
          <w:tcPr>
            <w:tcW w:w="10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52,293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145,504</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139,352</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17,728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19,599</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22,023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24,742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64,704</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27,551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71,575</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11,666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16,121</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42,550</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39,629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36,743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119,086</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106,365</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(9,192)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(38,286)</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(34,790)</w:t>
            </w:r>
          </w:p>
        </w:tc>
        <w:tc>
          <w:tcPr>
            <w:tcW w:w="0" w:type="dxa"/>
            <w:vAlign w:val="bottom"/>
          </w:tcPr>
          <w:p>
            <w:pPr>
              <w:spacing w:after="0"/>
              <w:rPr>
                <w:sz w:val="1"/>
                <w:szCs w:val="1"/>
                <w:color w:val="auto"/>
              </w:rPr>
            </w:pPr>
          </w:p>
        </w:tc>
      </w:tr>
      <w:tr>
        <w:trPr>
          <w:trHeight w:val="26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63"/>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(7,769)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(35,924)</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(25,810)</w:t>
            </w:r>
          </w:p>
        </w:tc>
        <w:tc>
          <w:tcPr>
            <w:tcW w:w="0" w:type="dxa"/>
            <w:vAlign w:val="bottom"/>
          </w:tcPr>
          <w:p>
            <w:pPr>
              <w:spacing w:after="0"/>
              <w:rPr>
                <w:sz w:val="1"/>
                <w:szCs w:val="1"/>
                <w:color w:val="auto"/>
              </w:rPr>
            </w:pPr>
          </w:p>
        </w:tc>
      </w:tr>
      <w:tr>
        <w:trPr>
          <w:trHeight w:val="263"/>
        </w:trPr>
        <w:tc>
          <w:tcPr>
            <w:tcW w:w="3860" w:type="dxa"/>
            <w:vAlign w:val="bottom"/>
            <w:tcBorders>
              <w:bottom w:val="single" w:sz="8" w:color="CCEEFF"/>
            </w:tcBorders>
            <w:gridSpan w:val="5"/>
          </w:tcPr>
          <w:p>
            <w:pPr>
              <w:ind w:left="8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(2,291)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(5,478)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(22,463)</w:t>
            </w:r>
          </w:p>
        </w:tc>
        <w:tc>
          <w:tcPr>
            <w:tcW w:w="0" w:type="dxa"/>
            <w:vAlign w:val="bottom"/>
          </w:tcPr>
          <w:p>
            <w:pPr>
              <w:spacing w:after="0"/>
              <w:rPr>
                <w:sz w:val="1"/>
                <w:szCs w:val="1"/>
                <w:color w:val="auto"/>
              </w:rPr>
            </w:pPr>
          </w:p>
        </w:tc>
      </w:tr>
      <w:tr>
        <w:trPr>
          <w:trHeight w:val="263"/>
        </w:trPr>
        <w:tc>
          <w:tcPr>
            <w:tcW w:w="3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comprehensive loss</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(4,619)</w:t>
            </w:r>
          </w:p>
        </w:tc>
        <w:tc>
          <w:tcPr>
            <w:tcW w:w="720" w:type="dxa"/>
            <w:vAlign w:val="bottom"/>
            <w:gridSpan w:val="3"/>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(36,724)</w:t>
            </w:r>
          </w:p>
        </w:tc>
        <w:tc>
          <w:tcPr>
            <w:tcW w:w="10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(21,659)</w:t>
            </w:r>
          </w:p>
        </w:tc>
        <w:tc>
          <w:tcPr>
            <w:tcW w:w="0" w:type="dxa"/>
            <w:vAlign w:val="bottom"/>
          </w:tcPr>
          <w:p>
            <w:pPr>
              <w:spacing w:after="0"/>
              <w:rPr>
                <w:sz w:val="1"/>
                <w:szCs w:val="1"/>
                <w:color w:val="auto"/>
              </w:rPr>
            </w:pPr>
          </w:p>
        </w:tc>
      </w:tr>
      <w:tr>
        <w:trPr>
          <w:trHeight w:val="27"/>
        </w:trPr>
        <w:tc>
          <w:tcPr>
            <w:tcW w:w="27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2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70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6"/>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7"/>
                <w:szCs w:val="17"/>
                <w:color w:val="auto"/>
              </w:rPr>
            </w:pPr>
          </w:p>
        </w:tc>
        <w:tc>
          <w:tcPr>
            <w:tcW w:w="9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37,161</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38,114</w:t>
            </w:r>
          </w:p>
        </w:tc>
        <w:tc>
          <w:tcPr>
            <w:tcW w:w="480" w:type="dxa"/>
            <w:vAlign w:val="bottom"/>
            <w:gridSpan w:val="3"/>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560" w:type="dxa"/>
            <w:vAlign w:val="bottom"/>
            <w:gridSpan w:val="3"/>
          </w:tcPr>
          <w:p>
            <w:pPr>
              <w:jc w:val="right"/>
              <w:ind w:right="268"/>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98,496</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97,639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16,068</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1,889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53,229</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52,293</w:t>
            </w:r>
          </w:p>
        </w:tc>
        <w:tc>
          <w:tcPr>
            <w:tcW w:w="480" w:type="dxa"/>
            <w:vAlign w:val="bottom"/>
            <w:gridSpan w:val="3"/>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60" w:type="dxa"/>
            <w:vAlign w:val="bottom"/>
            <w:gridSpan w:val="3"/>
          </w:tcPr>
          <w:p>
            <w:pPr>
              <w:jc w:val="right"/>
              <w:ind w:right="268"/>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145,504</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139,352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revenue, net increased by $0.9 million to $53.2 million, or 2%, for the three months ended September 30, 2026 as compared to the three months ended September 30, 2025. Total revenue, net increased by $6.2 million to $145.5 million, or 4%, for the nine months ended September 30, 2026 as compared to the nine months ended September 30, 2025.</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Product revenue decreased by $1.0 million to $37.2 million, or 3%, and increased by $0.9 million to $98.5 million, or 1%, for the three and nine months ended September 30, 2026, as compared to the three and nine months ended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September 30, 2025, respectively. The lower product revenue for the three months ended September 30, 2026 was primarily due to lower sales in APAC, partially offset by higher U.S. and EMEA revenue. The higher product revenue for the nine months ended September 30, 2026 was primarily due to higher U.S. sales, offset partially by lower revenue in EMEA, APAC and Rest of World markets.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Service revenue increased $1.9 million to $16.1 million, or 13%, and by $5.3 million to $47.0 million, or 13%, for the three and nine months ended September 30, 2026, as compared to the three and nine months ended September 30, 2025, respectively. The increase was primarily due to continued growth of the installed base with the related increase in service contracts and maintenance activity.</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6"/>
                <w:szCs w:val="16"/>
                <w:color w:val="auto"/>
              </w:rPr>
            </w:pPr>
          </w:p>
        </w:tc>
      </w:tr>
      <w:tr>
        <w:trPr>
          <w:trHeight w:val="23"/>
        </w:trPr>
        <w:tc>
          <w:tcPr>
            <w:tcW w:w="24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60" w:type="dxa"/>
            <w:vAlign w:val="bottom"/>
          </w:tcPr>
          <w:p>
            <w:pPr>
              <w:spacing w:after="0"/>
              <w:rPr>
                <w:sz w:val="17"/>
                <w:szCs w:val="17"/>
                <w:color w:val="auto"/>
              </w:rPr>
            </w:pPr>
          </w:p>
        </w:tc>
        <w:tc>
          <w:tcPr>
            <w:tcW w:w="11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53"/>
        </w:trPr>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Product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14,435</w:t>
            </w:r>
          </w:p>
        </w:tc>
        <w:tc>
          <w:tcPr>
            <w:tcW w:w="8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17,728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43,240</w:t>
            </w:r>
          </w:p>
        </w:tc>
        <w:tc>
          <w:tcPr>
            <w:tcW w:w="10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48,178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6"/>
                <w:szCs w:val="16"/>
                <w:color w:val="auto"/>
                <w:w w:val="98"/>
              </w:rPr>
              <w:t>(4,938)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60"/>
        </w:trPr>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7,588</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7,014</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21,464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19,599</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center"/>
              <w:ind w:left="43"/>
              <w:spacing w:after="0"/>
              <w:rPr>
                <w:sz w:val="20"/>
                <w:szCs w:val="20"/>
                <w:color w:val="auto"/>
              </w:rPr>
            </w:pPr>
            <w:r>
              <w:rPr>
                <w:rFonts w:ascii="Times New Roman" w:cs="Times New Roman" w:eastAsia="Times New Roman" w:hAnsi="Times New Roman"/>
                <w:sz w:val="16"/>
                <w:szCs w:val="16"/>
                <w:color w:val="auto"/>
                <w:w w:val="99"/>
              </w:rPr>
              <w:t>1,865</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22,023</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24,742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64,704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67,777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6"/>
                <w:szCs w:val="16"/>
                <w:color w:val="auto"/>
                <w:w w:val="98"/>
              </w:rPr>
              <w:t>(3,073)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31,206</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27,551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80,800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71,575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22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Total cost of sales decreased by $2.7 million to $22.0 million, or 11%, and by $3.1 million to $64.7 million or 5%, for the three and nine months ended September 30, 2026, respectively, as compared to the three and nine months ended September 30, 2025. The decrease in cost of sales for the three months ended September 30, 2026 was due to lower product cost of sales primarily resulting from lower overhead, material and tariff costs. The decrease for the nine months ended September 30, 2026 was due to lower product cost of sales, primarily driven by a one-time $2.8 million tariff refund and lower product overhead costs, partially offset by other product costs and higher service personnel costs.</w:t>
      </w:r>
    </w:p>
    <w:p>
      <w:pPr>
        <w:spacing w:after="0" w:line="62" w:lineRule="exact"/>
        <w:rPr>
          <w:sz w:val="20"/>
          <w:szCs w:val="20"/>
          <w:color w:val="auto"/>
        </w:rPr>
      </w:pPr>
    </w:p>
    <w:p>
      <w:pPr>
        <w:ind w:right="120" w:firstLine="486"/>
        <w:spacing w:after="0" w:line="237" w:lineRule="auto"/>
        <w:rPr>
          <w:sz w:val="20"/>
          <w:szCs w:val="20"/>
          <w:color w:val="auto"/>
        </w:rPr>
      </w:pPr>
      <w:r>
        <w:rPr>
          <w:rFonts w:ascii="Times New Roman" w:cs="Times New Roman" w:eastAsia="Times New Roman" w:hAnsi="Times New Roman"/>
          <w:sz w:val="18"/>
          <w:szCs w:val="18"/>
          <w:color w:val="auto"/>
        </w:rPr>
        <w:t>Total gross profit margin was 59% and 53% of total revenue for the three months ended September 30, 2026 and 2025, respectively, and 56% and 51% for the nine months ended September 30, 2026 and 2025, respectively. The increase in gross profit margin for the three months ended September 30, 2026 was due to lower product cost of sales. The increase for the nine months ended September 30, 2026 was also due to lower product cost of sales, primarily due to a $2.8 million tariff refund and lower manufacturing overhead costs. Service cost of sales increased at a slower rate than service revenue primarily due to lower service material costs. Excluding the tariff refunds recognized in the quarter ended June 30, 2026, total gross margin would have been 54% for the nine months ended September 30, 2026. Overall, gross profit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7"/>
                <w:szCs w:val="17"/>
                <w:color w:val="auto"/>
              </w:rPr>
            </w:pPr>
          </w:p>
        </w:tc>
      </w:tr>
      <w:tr>
        <w:trPr>
          <w:trHeight w:val="23"/>
        </w:trPr>
        <w:tc>
          <w:tcPr>
            <w:tcW w:w="25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60" w:type="dxa"/>
            <w:vAlign w:val="bottom"/>
          </w:tcPr>
          <w:p>
            <w:pPr>
              <w:spacing w:after="0"/>
              <w:rPr>
                <w:sz w:val="17"/>
                <w:szCs w:val="17"/>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23"/>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37,161</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38,114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98,496</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97,639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7"/>
        </w:trPr>
        <w:tc>
          <w:tcPr>
            <w:tcW w:w="2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14,435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17,728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43,240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48,178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7"/>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Product gross profit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22,726</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20,386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2,340</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55,256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49,461</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r>
      <w:tr>
        <w:trPr>
          <w:trHeight w:val="272"/>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r>
      <w:tr>
        <w:trPr>
          <w:trHeight w:val="220"/>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6"/>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23"/>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16,068</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14,179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47,008</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41,713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6"/>
        </w:trPr>
        <w:tc>
          <w:tcPr>
            <w:tcW w:w="2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7,588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7,014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21,464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7"/>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gross profit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8,480</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7,165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1,315</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25,544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22,114</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r>
      <w:tr>
        <w:trPr>
          <w:trHeight w:val="272"/>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Product revenue decreased by 3% for the three months ended September 30, 2026, as compared to the three months ended September 30, 2025, and increased by 1% for the nine months ended September 30, 2026, as compared to nine months ended September 30, 2025. Product cost of sales for the three and nine months ended September 30, 2026</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decreased by 19% and 10%, respectively, as compared to the same period in 2025. The decrease in cost of sales for the three months ended September 30, 2026 was primarily attributable to lower manufacturing overhead, including lower compensation expenses and lower material costs. The decrease for the nine months ended September 30, 2026 was reflective of the same factors as well as a one-time $2.8 million reduction in cost of sales from tariff refunds recognized in the second quarter of 2026.</w:t>
      </w:r>
    </w:p>
    <w:p>
      <w:pPr>
        <w:spacing w:after="0" w:line="7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Product gross profit for the three and nine months ended September 30, 2026 increased 11% and 12%, respectively, as compared to the three and nine months ended September 30, 2025. Product gross profit margins for the three and nine months ended September 30, 2026 were 61% and 56%, respectively, as compared to 53% and 51%, respectively, for the three and nine months ended September 30, 2025. The increases were primarily driven by the decreases in cost of sales discussed above and, for the nine-month period ending September 30, 2026, the $2.8 million tariff refunds described above. Excluding the impact of this tariff refund, product gross margin would have been 53% for the nine months ended September 30, 2026.</w:t>
      </w:r>
    </w:p>
    <w:p>
      <w:pPr>
        <w:spacing w:after="0" w:line="75"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Service revenue for the three and nine months ended September 30, 2026 increased 13% and 13%, respectively, as compared to the three and nine months ended September 30, 2025. Service cost of sales for the three and nine months ended September 30, 2026 increased by 8% and 10%, respectively, as compared to the same period in 2025. Service gross profit for the three and nine months ended September 30, 2026 increased 18% and 16%, respectively, as compared to the three and nine months ended September 30, 2025. Service gross margins for the three and nine months ended September 30, 2026 were 53% and 54%, respectively, compared to 51% and 53%, respectively, for the three and nine months ended September 30, 2025. The higher service gross margin in the three months ended September 30, 2026, compared to the three months ended September 30, 2025, was mainly driven by slower growth in service overhead costs compared to the rate of revenue growth. For the nine months ended September 30, 2026, the higher service gross margin was primarily due to lower material costs.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7"/>
                <w:szCs w:val="17"/>
                <w:color w:val="auto"/>
              </w:rPr>
            </w:pPr>
          </w:p>
        </w:tc>
        <w:tc>
          <w:tcPr>
            <w:tcW w:w="10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7"/>
                <w:szCs w:val="17"/>
                <w:color w:val="auto"/>
              </w:rPr>
            </w:pPr>
          </w:p>
        </w:tc>
        <w:tc>
          <w:tcPr>
            <w:tcW w:w="10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7"/>
                <w:szCs w:val="17"/>
                <w:color w:val="auto"/>
              </w:rPr>
            </w:pPr>
          </w:p>
        </w:tc>
      </w:tr>
      <w:tr>
        <w:trPr>
          <w:trHeight w:val="23"/>
        </w:trPr>
        <w:tc>
          <w:tcPr>
            <w:tcW w:w="27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7"/>
                <w:szCs w:val="17"/>
                <w:color w:val="auto"/>
              </w:rPr>
            </w:pPr>
          </w:p>
        </w:tc>
        <w:tc>
          <w:tcPr>
            <w:tcW w:w="106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$9.4 million and $28.7 million for the three and nine months ended September 30, 2026, respectively, as compared to $9.0 million and $27.5 million for the three and nine months ended September 30, 2025, respectively. The increase in expenses for the three months ended September 30, 2026 was primarily driven by higher personnel costs, offset by lower engineering expenses. The increase in expenses for the nine months ended September 30, 2026 was primarily driven by higher outside services, personnel, and business expenses.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7"/>
                <w:szCs w:val="17"/>
                <w:color w:val="auto"/>
              </w:rPr>
            </w:pP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7"/>
                <w:szCs w:val="17"/>
                <w:color w:val="auto"/>
              </w:rPr>
            </w:pPr>
          </w:p>
        </w:tc>
        <w:tc>
          <w:tcPr>
            <w:tcW w:w="10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7"/>
                <w:szCs w:val="17"/>
                <w:color w:val="auto"/>
              </w:rPr>
            </w:pPr>
          </w:p>
        </w:tc>
      </w:tr>
      <w:tr>
        <w:trPr>
          <w:trHeight w:val="23"/>
        </w:trPr>
        <w:tc>
          <w:tcPr>
            <w:tcW w:w="276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17"/>
                <w:szCs w:val="17"/>
                <w:color w:val="auto"/>
              </w:rPr>
            </w:pPr>
          </w:p>
        </w:tc>
        <w:tc>
          <w:tcPr>
            <w:tcW w:w="106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11,666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200" w:lineRule="exact"/>
        <w:rPr>
          <w:sz w:val="20"/>
          <w:szCs w:val="20"/>
          <w:color w:val="auto"/>
        </w:rPr>
      </w:pPr>
    </w:p>
    <w:p>
      <w:pPr>
        <w:spacing w:after="0" w:line="24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Sales and marketing expenses were $11.9 million and $36.7 million for the three and nine months ended September 30, 2026, respectively, as compared to $11.7 million and $36.3 million for the three and nine months ended September 30, 2025, respectively. The increase in expenses for the nine months ended September 30, 2026 was primarily driven by higher severance, other personnel costs, and higher advertising and marketing expenses.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7"/>
                <w:szCs w:val="17"/>
                <w:color w:val="auto"/>
              </w:rPr>
            </w:pPr>
          </w:p>
        </w:tc>
        <w:tc>
          <w:tcPr>
            <w:tcW w:w="9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7"/>
                <w:szCs w:val="17"/>
                <w:color w:val="auto"/>
              </w:rPr>
            </w:pPr>
          </w:p>
        </w:tc>
      </w:tr>
      <w:tr>
        <w:trPr>
          <w:trHeight w:val="23"/>
        </w:trPr>
        <w:tc>
          <w:tcPr>
            <w:tcW w:w="28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17"/>
                <w:szCs w:val="17"/>
                <w:color w:val="auto"/>
              </w:rPr>
            </w:pPr>
          </w:p>
        </w:tc>
        <w:tc>
          <w:tcPr>
            <w:tcW w:w="108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2,242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  11,105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60" w:firstLine="48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$18.4 million and $53.7 million for the three and nine months ended September 30, 2026, respectively, as compared to $16.1 million and $42.6 million for the three and nine months ended September 30, 2025, respectively. The increase in expenses for the three months ended September 30, 2026 was primarily due to higher litigation-related expenses, offset partially by lower compensation and severance expenses, and the non-recurrence of a write-off of deferred offering costs in the prior period. The increase in expenses for the nine months ended September 30, 2026 was primarily due to higher litigation-related expenses, and bad debt reserves, offset by lower severance and other personnel costs, and the non-recurrence of the write-off in the prior period mentioned above.</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While we are focused on controlling our general and administrative expenses, these may increase in absolute dollars in future periods to provide the infrastructure necessary to support the growth of the business.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7"/>
                <w:szCs w:val="17"/>
                <w:color w:val="auto"/>
              </w:rPr>
            </w:pPr>
          </w:p>
        </w:tc>
        <w:tc>
          <w:tcPr>
            <w:tcW w:w="10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7"/>
                <w:szCs w:val="17"/>
                <w:color w:val="auto"/>
              </w:rPr>
            </w:pPr>
          </w:p>
        </w:tc>
        <w:tc>
          <w:tcPr>
            <w:tcW w:w="10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7"/>
                <w:szCs w:val="17"/>
                <w:color w:val="auto"/>
              </w:rPr>
            </w:pPr>
          </w:p>
        </w:tc>
      </w:tr>
      <w:tr>
        <w:trPr>
          <w:trHeight w:val="23"/>
        </w:trPr>
        <w:tc>
          <w:tcPr>
            <w:tcW w:w="27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17"/>
                <w:szCs w:val="17"/>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expense was $0.3 million and $0.8 million for the three and nine months ended September 30, 2026, respectively, as compared to $0.5 million and $1.2 million for the three and nine months ended September 30, 2025. The decrease in interest expense during the three and nine months ended September 30, 2026 was primarily attributable to interest expense incurred during the third quarter of 2025 in connection with a California state tax audit covering the years 2022 through 2024.</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7"/>
                <w:szCs w:val="17"/>
                <w:color w:val="auto"/>
              </w:rPr>
            </w:pPr>
          </w:p>
        </w:tc>
        <w:tc>
          <w:tcPr>
            <w:tcW w:w="10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7"/>
                <w:szCs w:val="17"/>
                <w:color w:val="auto"/>
              </w:rPr>
            </w:pPr>
          </w:p>
        </w:tc>
        <w:tc>
          <w:tcPr>
            <w:tcW w:w="10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7"/>
                <w:szCs w:val="17"/>
                <w:color w:val="auto"/>
              </w:rPr>
            </w:pPr>
          </w:p>
        </w:tc>
      </w:tr>
      <w:tr>
        <w:trPr>
          <w:trHeight w:val="23"/>
        </w:trPr>
        <w:tc>
          <w:tcPr>
            <w:tcW w:w="28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7"/>
                <w:szCs w:val="17"/>
                <w:color w:val="auto"/>
              </w:rPr>
            </w:pPr>
          </w:p>
        </w:tc>
        <w:tc>
          <w:tcPr>
            <w:tcW w:w="108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1,024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1,636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Interest income was $1.0 million and $2.6 million for the three and nine months ended September 30, 2026, respectively, as compared to $0.6 million and $1.6 million for the three and nine months ended September 30, 2025, respectively. For the three months and nine months ended September 30, 2026, the increase in interest income was primarily driven by a change in mix of marketable securities toward a higher proportion of interest income generating securities. Additionally, for the nine months ended September 30, 2026, the increase in interest income was primarily attributable to the $0.2 million of interest income on Federal income tax refunds recognized in the first quarter of 2026.</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25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7"/>
                <w:szCs w:val="17"/>
                <w:color w:val="auto"/>
              </w:rPr>
            </w:pP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7"/>
                <w:szCs w:val="17"/>
                <w:color w:val="auto"/>
              </w:rPr>
            </w:pPr>
          </w:p>
        </w:tc>
      </w:tr>
      <w:tr>
        <w:trPr>
          <w:trHeight w:val="23"/>
        </w:trPr>
        <w:tc>
          <w:tcPr>
            <w:tcW w:w="2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0"/>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1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7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  $</w:t>
            </w: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(8,008)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Other income (expense), net was $0.8 million for the three months ended September 30, 2026, compared to other income (expense), net of $1.3 million for the three months ended September 30, 2025. The decrease in other income (expense), net was primarily driven by a reduction in investment and other income of $0.9 million, offset by a reduction in realized and unrealized foreign exchange losses of $0.4 million compared in the prior year period. Other income (expense), net was $0.5 million for the nine months ended September 30, 2026, compared to $8.5 million for the nine months ended September 30, 2025. The decrease in other income (expense) was primarily driven by $2.3 million of foreign exchange losses in the current period compared to $2.0 million of foreign exchange gains in the prior period, $4.5 million of investment and other income in the current period compared to $6.6 million in the prior period, driven by a change in mix of marketable securities toward a lower proportion of investment income generating securities and a $1.6 million impairment charge on a non-marketable equity investment in an early-stage technology company incurred in the second quarter of 2026.</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88" w:lineRule="exact"/>
        <w:rPr>
          <w:sz w:val="20"/>
          <w:szCs w:val="20"/>
          <w:color w:val="auto"/>
        </w:rPr>
      </w:pPr>
    </w:p>
    <w:p>
      <w:pPr>
        <w:ind w:left="20" w:firstLine="45"/>
        <w:spacing w:after="0" w:line="266" w:lineRule="auto"/>
        <w:rPr>
          <w:sz w:val="20"/>
          <w:szCs w:val="20"/>
          <w:color w:val="auto"/>
        </w:rPr>
      </w:pPr>
      <w:r>
        <w:rPr>
          <w:rFonts w:ascii="Times New Roman" w:cs="Times New Roman" w:eastAsia="Times New Roman" w:hAnsi="Times New Roman"/>
          <w:sz w:val="18"/>
          <w:szCs w:val="18"/>
          <w:color w:val="auto"/>
        </w:rPr>
        <w:t>(Benefit from) provision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4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7"/>
                <w:szCs w:val="17"/>
                <w:color w:val="auto"/>
              </w:rPr>
            </w:pPr>
          </w:p>
        </w:tc>
        <w:tc>
          <w:tcPr>
            <w:tcW w:w="10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7"/>
                <w:szCs w:val="17"/>
                <w:color w:val="auto"/>
              </w:rPr>
            </w:pPr>
          </w:p>
        </w:tc>
        <w:tc>
          <w:tcPr>
            <w:tcW w:w="10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7"/>
                <w:szCs w:val="17"/>
                <w:color w:val="auto"/>
              </w:rPr>
            </w:pPr>
          </w:p>
        </w:tc>
      </w:tr>
      <w:tr>
        <w:trPr>
          <w:trHeight w:val="23"/>
        </w:trPr>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0"/>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325"/>
        </w:trPr>
        <w:tc>
          <w:tcPr>
            <w:tcW w:w="760" w:type="dxa"/>
            <w:vAlign w:val="bottom"/>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tcPr>
          <w:p>
            <w:pPr>
              <w:spacing w:after="0"/>
              <w:rPr>
                <w:sz w:val="24"/>
                <w:szCs w:val="24"/>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4,544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-218440</wp:posOffset>
            </wp:positionV>
            <wp:extent cx="7115175" cy="300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300355"/>
                    </a:xfrm>
                    <a:prstGeom prst="rect">
                      <a:avLst/>
                    </a:prstGeom>
                    <a:noFill/>
                  </pic:spPr>
                </pic:pic>
              </a:graphicData>
            </a:graphic>
          </wp:anchor>
        </w:drawing>
      </w:r>
    </w:p>
    <w:p>
      <w:pPr>
        <w:spacing w:after="0" w:line="311" w:lineRule="exact"/>
        <w:rPr>
          <w:sz w:val="20"/>
          <w:szCs w:val="20"/>
          <w:color w:val="auto"/>
        </w:rPr>
      </w:pPr>
    </w:p>
    <w:p>
      <w:pPr>
        <w:sectPr>
          <w:pgSz w:w="11900" w:h="16838" w:orient="portrait"/>
          <w:cols w:equalWidth="0" w:num="2">
            <w:col w:w="2660" w:space="200"/>
            <w:col w:w="8380"/>
          </w:cols>
          <w:pgMar w:left="320" w:top="121" w:right="339" w:bottom="1440" w:gutter="0" w:footer="0" w:header="0"/>
        </w:sect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Income tax benefit was $0.8 million for the three months ended September 30, 2026, as compared to an income tax benefit of $2.3 million for the three months ended September 30, 2025. Income tax expense was $1.2 million for the nine months ended September 30, 2026, as compared to an income tax benefit of $3.3 million for the nine months ended September 30, 2025. The net increase in expenses of $1.5 million and $4.5 million for the three and nine months ended September 30, 2026 was primarily due to the domestic valuation allowance established in the last quarter of 2025, which negates the tax benefit from losses within the U.S. jurisdiction for the current period.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date, our primary sources of capital have been through sales of our securities and revenue from the sale of our products and services. As of September 30, 2026 and December 31, 2025, we had approximately $256.3 million and $261.5 million, respectively, in cash, cash equivalents, restricted cash, and marketable securities, which were primarily held in U.S. short-term bank deposit accounts, money market funds, U.S. Treasury notes, Federal agency security notes, and short term commercial paper.</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Funding and material cash requirements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currently anticipate making additional capital expenditures during the next 12 months, which is expected to primarily include equipment to be used for manufacturing and investment in research and development.</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we lease certain office facilities under operating lease arrangements that expire on various dates through fiscal year 2030. Under the terms of the leases, we are responsible for certain expenses related to operations, maintenance, repairs and management fees. Future minimum lease payments under non-cancelable operating leases totaled $20.1 million as of September 30, 2026.</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74"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21590</wp:posOffset>
            </wp:positionV>
            <wp:extent cx="17399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7"/>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277"/>
        </w:trPr>
        <w:tc>
          <w:tcPr>
            <w:tcW w:w="8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(21,858)</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r>
      <w:tr>
        <w:trPr>
          <w:trHeight w:val="263"/>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w:t>
            </w:r>
          </w:p>
        </w:tc>
      </w:tr>
      <w:tr>
        <w:trPr>
          <w:trHeight w:val="270"/>
        </w:trPr>
        <w:tc>
          <w:tcPr>
            <w:tcW w:w="8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6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7"/>
        </w:trPr>
        <w:tc>
          <w:tcPr>
            <w:tcW w:w="8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2026 was $5.8 million. The primary factors affecting our operating cash flows during the period were our net loss of $37.1 million and our non-cash charges of $24.0 million, primarily consisting of stock-based compensation expense of $15.1 million, depreciation and amortization of $6.0 million, amortization of right-of-use assets of $2.9 million, provision for credit losses of $0.9 million and provision for excess and obsolete inventory of $0.8 million, partially offset by a gain on investments, accretion and amortization, net of $3.4 million, and deferred income taxes of $0.2 million. The cash provided by changes in our operating assets and liabilities of $7.3 million in the nine months ended September 30, 2026 was primarily due to a decrease in prepaid expenses and other assets of $4.7 million, an increase in accrued expenses and other liabilities of $4.5 million, a decrease in trade accounts receivable of $1.5 million due to seasonality, with our first quarter typically being lower than our fourth quarter, an increase in deferred revenue of $2.5 million, and an increase in operating lease liabilities of $1.0 million. These amounts were partially offset by cash used from changes in our operating assets and liabilities, including an increase in inventories of $4.7 million, a decrease in trade accounts payable of $1.4 million, and decrease in legal settlement liabilities of $0.9 million.</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2025 was $3.9 million. The primary factors affecting our operating cash flows during the period were our net loss of $22.5 million and our non-cash charges of $19.9 million, primarily consisting of stock-based compensation expense of $19.1 million, depreciation and amortization of $5.7 million, amortization of right-of-use assets of $3.2 million, and excess and obsolete inventory of $0.5 million, partially offset by deferred income taxes of $5.0 million, and a gain on investments, accretion and amortization, net of $4.5 million. The cash used in changes in our operating assets and liabilities of $1.3 million in the nine months ended September 30, 2025 were primarily due to an increase in inventories of $7.3 million, a decrease in operating lease liabilities of $3.3 million, and a decrease in legal settlement liabilities of $0.8 million, and an increase in prepaid expenses and other assets of $0.7 million. These amounts were partially offset by cash provided from changes in our operating assets and liabilities, including a decrease in trade accounts receivable of $6.5 million, an increase in deferred revenue of $1.9 million, and an increase in trade accounts payable of $1.8 million.</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2026 was $21.9 million driven by purchases of marketable securities of $210.5 million and purchases of fixed assets and intangibles of approximately $6.0 million, partially offset by proceeds from maturities of marketable securities of $194.6 million.</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2025 was $12.0 million driven by proceeds from maturities of marketable securities of $216.1 million, proceeds from sale of property and equipment of $0.1 million, partially offset by the purchase of marketable securities of $201.0 million, and purchase of property and equipment of approximately $3.2 million.</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2026 was $2.6 million, primarily driven by the proceeds from a line of credit of $6.2 million and proceeds from issuance of common stock under employee stock plans of $1.1 million, partially offset by the repayment of loans of $4.8 million.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2025 was $12.2 million, primarily driven by payments for the repurchase of shares of $15.1 million and the repayment of loans of $1.8 million, partially offset by the proceeds from a line of credit of $4.2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there were no material changes to our contractual obligations and commitments from those described under “Management’s Discussion and Analysis of Financial Condition” which is contained in our Form 10-K and filed with the SEC on February 26,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if different assumptions and conditions apply. A summary of our critical accounting policies is presented in our audited financial statements and notes thereto as of and for the year ended December 31, 2025 included in our Annual Report on Form 10-K filed with the SEC on February 26, 2026. There were no material changes to our critical accounting policies during the three months ended September 30, 2026.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interim consolidated financial statements included in Part I, Item 1, of this Quarterly Report on Form 10-Q, which information is incorporated herein by reference.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condition represents the potential loss arising from adverse changes in interest rates or exchange rates. As of September 30, 2026, we had approximately $256.3 million in cash, cash equivalents, restricted cash, and marketable securities, which were primarily held in U.S. short-term bank deposit accounts, money market funds, U.S. Treasury notes, Federal agency security notes, and short-term commercial paper. The primary objective of our investment is to preserve principal and provide liquidity. These money market funds and bank deposits generate interest income at variable rates.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do not believe that either inflation or foreign currency risk had a material effect on our business, financial condition, or results of operations during the periods presented.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as of September 30,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quarter ended September 30, 2026 that materially affected, or was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claims. See Note 17 to our unaudited interim consolidated financial statements included elsewhere in this Quarterly Report on Form 10-Q for information regarding the Beckman Coulter Litigation (as defined in Note 17), in which Beckman Coulter, Inc. (“Beckman Coulter”) has asserted patent infringement claims against us.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October 8, 2026, we filed a complaint with the United States International Trade Commission (the “ITC”) under Section 337 of the Tariff Act of 1930, as amended, against Beckman Coulter and Beckman Coulter Biotechnology (Suzhou) Co., Ltd. The complaint alleges that certain of Beckman Coulter’s spectral flow cytometry products, including its mosaic 88 and mosaic 63 detection modules, infringe U.S. Patent Nos. 12,754,128, 12,487,167 and 10,739,245 owned by us, and seeks a limited exclusion order and cease-and-desist orders barring the importation and sale of the accused products in the United States. As of the date of this filing, the ITC has not yet determined whether to institute an investigation.</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October 16, 2026, we filed a complaint against Beckman Coulter in the United States District Court for the District of Delaware, alleging infringement of U.S. Patent Nos. 12,754,128, 12,487,167, 11,913,868 and 10,739,245 owned by us and seeking damages, including enhanced damages for willful infringement, and preliminary and permanent injunctive relief. We intend to vigorously pursue our claims in both proceedings. The ITC and Delaware proceedings are separate from the Beckman Coulter Litigation, in which Beckman Coulter is the plaintiff and different patents are at issue.</w:t>
      </w:r>
    </w:p>
    <w:p>
      <w:pPr>
        <w:spacing w:after="0" w:line="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immediately follows this risk factor summary. The below risk factor summary is qualified in its entirety by that more complete discussion of such risks and uncertainties.</w:t>
      </w:r>
    </w:p>
    <w:p>
      <w:pPr>
        <w:spacing w:after="0" w:line="54" w:lineRule="exact"/>
        <w:rPr>
          <w:sz w:val="20"/>
          <w:szCs w:val="20"/>
          <w:color w:val="auto"/>
        </w:rPr>
      </w:pPr>
    </w:p>
    <w:p>
      <w:pPr>
        <w:ind w:left="980" w:hanging="486"/>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a limited number of product offerings. Our revenue has been primarily generated from sales of our core Cytek Aurora, Northern Lights, Cytek Aurora cell sorter (“Cytek Aurora CS”), and Cytek Aurora Evo systems, which require a substantial sales cycle and are prone to quarterly fluctuations in revenue.</w:t>
      </w:r>
    </w:p>
    <w:p>
      <w:pPr>
        <w:spacing w:after="0" w:line="6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will be harmed if we are unable to accurately forecast customer demand for our products and manage our inventory.</w:t>
      </w:r>
    </w:p>
    <w:p>
      <w:pPr>
        <w:spacing w:after="0" w:line="10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and expansion of our international business expose us to business, regulatory, political, operational, financial and economic risks associated with doing business outside of the United States.</w:t>
      </w:r>
    </w:p>
    <w:p>
      <w:pPr>
        <w:spacing w:after="0" w:line="161"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or other government trade policies may materially adversely affect our business and results of operations, including by reducing demand for our products.</w:t>
      </w:r>
    </w:p>
    <w:p>
      <w:pPr>
        <w:spacing w:after="0" w:line="6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controls and sanctions programs that could impair our ability to compete in international markets due to licensing requirements and subject us to liability if we are not in compliance with applicable laws.</w:t>
      </w:r>
    </w:p>
    <w:p>
      <w:pPr>
        <w:spacing w:after="0" w:line="5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limited experience manufacturing our products, and if we are unable to manufacture our products in high-quality commercial quantities successfully and consistently to meet demand, our growth will be limited.</w:t>
      </w:r>
    </w:p>
    <w:p>
      <w:pPr>
        <w:spacing w:after="0" w:line="40" w:lineRule="exact"/>
        <w:rPr>
          <w:rFonts w:ascii="Times New Roman" w:cs="Times New Roman" w:eastAsia="Times New Roman" w:hAnsi="Times New Roman"/>
          <w:sz w:val="18"/>
          <w:szCs w:val="18"/>
          <w:b w:val="1"/>
          <w:bCs w:val="1"/>
          <w:i w:val="1"/>
          <w:iCs w:val="1"/>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dependent upon our ability to increase penetration in our existing markets and expand into adjacent markets.</w:t>
      </w:r>
    </w:p>
    <w:p>
      <w:pPr>
        <w:spacing w:after="0" w:line="103"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adoption of our products by academic and government institutions, contract research organizations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w:t>
      </w:r>
    </w:p>
    <w:p>
      <w:pPr>
        <w:spacing w:after="0" w:line="82"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54"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40"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61"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6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5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controls, we may not be able to accurately or timely report our financial condition or results of operations.</w:t>
      </w:r>
    </w:p>
    <w:p>
      <w:pPr>
        <w:spacing w:after="0" w:line="40"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existing operations, develop our products and/or expand our operations.</w:t>
      </w:r>
    </w:p>
    <w:p>
      <w:pPr>
        <w:spacing w:after="0" w:line="10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40"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69"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subject to more onerous regulation by the U.S. Food and Drug Administration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40"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61" w:lineRule="exact"/>
        <w:rPr>
          <w:rFonts w:ascii="Times New Roman" w:cs="Times New Roman" w:eastAsia="Times New Roman" w:hAnsi="Times New Roman"/>
          <w:sz w:val="18"/>
          <w:szCs w:val="18"/>
          <w:color w:val="auto"/>
        </w:rPr>
      </w:pPr>
    </w:p>
    <w:p>
      <w:pPr>
        <w:jc w:val="both"/>
        <w:ind w:left="980" w:hanging="486"/>
        <w:spacing w:after="0" w:line="24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spacing w:after="0" w:line="71"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principal stockholders and their respective affiliates, if they choose to act together, have the ability to significantly influence all matters submitted to stockholders for approval.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and may encounter unforeseen expenses, difficulties, complications, delays and other known and unknown obstacles. We launched our first core commercial product, the Cytek Aurora system, in June 2017. Our Cytek Northern Lights system was commercially launched in October 2018, our Cytek Aurora CS system was first commercially shipped in June 2021, we launched our Cytek Aurora Evo system in May 2025, and we announced in June 2026 the Cytek Borealis as an offering available via an early access program.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if we do not address these risks successfully, our results of operations could differ materially from our expectations, and our business, financial condition and results of operations could be materially and adversely affected.</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a limited number of product offerings. Our revenue has been primarily generated from sales of our core Cytek Aurora, Northern Lights, Cytek Aurora CS, and Cytek Aurora Evo systems, which require a substantial sales cycle and are prone to quarterly fluctuations in revenue.</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Sales of the Cytek Aurora, Northern Lights, Cytek Aurora CS, and Cytek Aurora Evo systems together accounted for a substantial portion of our revenue for the periods presented in this Quarterly Report on Form 10-Q. We expect that, for at least the foreseeable future, sales of our Cytek Aurora, Northern Lights, Cytek Aurora CS, and Cytek Aurora Evo systems will continue to account for a substantial portion of our revenue. The sales cycle for our instruments is slow and can take up to six months or longer to complete. As a result of this lengthy and unpredictable sales cycle, we will be prone to quarterly fluctuations in our revenue as sales of the Cytek Aurora, Northern Lights, Cytek Aurora CS, and Cytek Aurora Evo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sourced and will continue to source certain components of the Cytek Aurora, Cytek Northern Lights, Cytek Aurora CS, and Cytek Aurora Evo systems from a limited number of suppliers and, in some cases, sole source suppliers. Key components in our products that are supplied by sole or single source suppliers include certain lasers and semiconductors that are used in our optical, electrical and fluidic subassemblies. On August 25, 2021, we and Cytek (Wuxi) Biosciences Co., Ltd, our Wuxi, China subsidiary (“Cytek Wuxi”), entered into a Supply Agreement with Coherent NA, Inc. and certain of its affiliates (collectively, “Coherent”), which was amended on August 12, 2025 by Contract Amendment No. 1 (as amended, the “Coherent Agreement”) to extend the term, update pricing, and add our Singapore subsidiary, Cytek Biosciences Pte. Ltd. (“Cytek Singapore”), as a party to the agreement. Pursuant to the Coherent Agreement, Coherent has agreed to sell and supply to us, Cytek Wuxi, and Cytek Singapore, on a non-exclusive basis, laser products manufactured by Coherent. We, Cytek Wuxi, and Cytek Singapore provide Coherent with rolling forecasts of our anticipated orders, which are non-binding. Purchase orders submitted by us, Cytek Wuxi, and Cytek Singapore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identifying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Although we believe that we have stable relationships with our existing suppliers, we cannot assure you that we will be able to secure a stable supply of components and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Supply interruptions have in the past arisen and could arise in the future as a result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For example, in 2026, in anticipation of a potential future shortage in the supply of certain plastics used in our products, we placed additional purchase orders to secure supply over a longer time horizon than we would typically plan. Although we do not currently anticipate a delay in the supply of such materials, we have incurred, and may continue to incur, higher procurement costs in connection with these efforts, and there can be no assurance that such proactive measures will be sufficient to avoid future supply shortages or that the costs of such materials will not continue to increase.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harmed if we are unable to accurately forecast customer demand for our products and manage our inventory.</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operations and expansion of our international business expose us to business, regulatory, political, operational, financial and economic risks associated with doing business outside of the United States.</w:t>
      </w:r>
    </w:p>
    <w:p>
      <w:pPr>
        <w:spacing w:after="0" w:line="5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the United States, China and Singapore. Doing business internationally involves a number of risks, including:</w:t>
      </w:r>
    </w:p>
    <w:p>
      <w:pPr>
        <w:spacing w:after="0" w:line="69" w:lineRule="exact"/>
        <w:rPr>
          <w:sz w:val="20"/>
          <w:szCs w:val="20"/>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40"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distributors to obtain approvals to conduct our business in various countries;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intellectual property rights;</w:t>
      </w:r>
    </w:p>
    <w:p>
      <w:pPr>
        <w:spacing w:after="0" w:line="11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enforcing our intellectual property and defending against third-party intellectual property claims;</w:t>
      </w:r>
    </w:p>
    <w:p>
      <w:pPr>
        <w:spacing w:after="0" w:line="5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1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freight costs, logistics and regulations associated with shipping and receiving systems and parts and components for our products, as well as transportation delays;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that limit the ability of marketing, presales, sales, services and support teams to service customers;</w:t>
      </w:r>
    </w:p>
    <w:p>
      <w:pPr>
        <w:spacing w:after="0" w:line="10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40"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that could result in tariffs and other protective measures;</w:t>
      </w:r>
    </w:p>
    <w:p>
      <w:pPr>
        <w:spacing w:after="0" w:line="10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such as the ongoing war in Ukraine, conflicts in the Middle East, outbreak of disease, boycotts, curtailment of trade and other business restrictions; and</w:t>
      </w:r>
    </w:p>
    <w:p>
      <w:pPr>
        <w:spacing w:after="0" w:line="40"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6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Any of these factors could significantly harm our international operations and any future international expansion and, consequently, our business, financial condition, results of operations and prospects. In addition, certain international markets are subject to significant political and economic uncertainty.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 For more information, please see “Risks Related to Government Regulation and Our Industry” below.</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Tariffs or other government trade policies may materially adversely affect our business and results of operations, including by reducing demand for our products.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Beginning in 2025, the U.S. government has at times announced substantial new tariffs affecting a wide range of products and jurisdictions and has indicated an intention to continue developing new trade policies. For example, the U.S. government recently increased tariffs rates applicable to certain imports from Singapore and China from 10% to 12.5%; while we do not currently anticipate a material impact on the Company’s results of operations, we cannot predict whether these or other tariff rates applicable to our supply chain will change further, or the ultimate impact any such changes may have on our business. In the same timeframe,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These developments have created a dynamic and unpredictable trade landscape, which may adversely impact our business, results of operations, financial condition and prospects.</w:t>
      </w:r>
    </w:p>
    <w:p>
      <w:pPr>
        <w:spacing w:after="0" w:line="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imposition of tariffs and trade restrictions as a result of international trade disputes or changes in trade policies may adversely affect our sales and profitability. For example, our components have been subject to previously imposed or proposed tariffs, which may increase our manufacturing costs and could make our products less competitive than those of our 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contract manufacturing organizations have in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past and may in the future become subject to trade restrictions, sanctions, other regulatory requirements, or proposed legislation by the U.S. government, which could restrict or even prohibit our ability to work with such entities, thereby potentially disrupting the supply of material to our Wuxi facility. Such disruption could have adverse effects on the development of our product candidates and our business operations.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this Quarterly Report on Form 10-Q.</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sanctions programs that could impair our ability to compete in international markets due to licensing requirements and subject us to liability if we are not in compliance with applicable laws.</w:t>
      </w:r>
    </w:p>
    <w:p>
      <w:pPr>
        <w:spacing w:after="0" w:line="63" w:lineRule="exact"/>
        <w:rPr>
          <w:sz w:val="20"/>
          <w:szCs w:val="20"/>
          <w:color w:val="auto"/>
        </w:rPr>
      </w:pPr>
    </w:p>
    <w:p>
      <w:pPr>
        <w:jc w:val="both"/>
        <w:ind w:firstLine="486"/>
        <w:spacing w:after="0" w:line="243" w:lineRule="auto"/>
        <w:rPr>
          <w:sz w:val="20"/>
          <w:szCs w:val="20"/>
          <w:color w:val="auto"/>
        </w:rPr>
      </w:pPr>
      <w:r>
        <w:rPr>
          <w:rFonts w:ascii="Times New Roman" w:cs="Times New Roman" w:eastAsia="Times New Roman" w:hAnsi="Times New Roman"/>
          <w:sz w:val="18"/>
          <w:szCs w:val="18"/>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78"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On January 15, 2025, the U.S. government announced new license requirements that impact exports of certain products and technology, including high-parameter and spectral flow cytometers and cell sorters and certain mass spectrometry equipment to certain countries, including China, which may have a significant negative impact on our sales, manufacturing and research and development activities. The impact of the new license requirements is difficult to quantify, and it may be challenging for us to manage our international operations and accurately forecast our operating results due to these requirements. For more information, please see “Our results of operations will be harmed if we are unable to accurately forecast customer demand for our products and manage our inventory” above.</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limited experience manufacturing our products. We currently manufacture instruments and reagents at our manufacturing facilities in Fremont, California and Wuxi, China, instruments at our facility in Singapore,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is dependent upon our ability to increase penetration in our existing markets and expand into adjacent markets.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customer base includes academic and government institutions, pharmaceutical and biotechnology companies, CROs and clinical laboratories focused on cell analysis. Approximately 46% and 34% of our revenue came from sales to academic and government-owned institutions and 54% and 66% of our revenue came from sales to pharmaceutical and biotechnology companies, distributors and CROs in the three months ended September 30, 2026 and 2025,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adoption of our products by academic and government institutions,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primary strategy to grow our revenue is to take a stepwise approach to market our products across key stakeholders in flow cytometry and cell analysis, such as academic and government institutions, CROs, pharmaceutical companies and clinical laboratories. While the number of customers using our products has increased in recent years, many academic and government institutions, CROs, pharmaceutical companies and clinical laboratories have not yet adopted our products, and such institutions and companies may choose not to adopt our products for a number of reasons, including:</w:t>
      </w:r>
    </w:p>
    <w:p>
      <w:pPr>
        <w:spacing w:after="0" w:line="72" w:lineRule="exact"/>
        <w:rPr>
          <w:sz w:val="20"/>
          <w:szCs w:val="20"/>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recruiting or training of talented sales force in existing and new markets to facilitate outreach and further adoption and awareness of our products;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for cell analysis;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inadequacy of evidence supporting benefits or cost-effectiveness of our products over existing alternatives;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processes;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training required to use new products;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or delay in the research and development activities using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and alternatives; and</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other novel alternative products for cell analysis.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educating notable industry key opinion leaders, representatives of academic and government institutions, CROs, pharmaceutical companies and clinical laboratories about the merits and benefits of our products for flow cytometry and cell analysis is one of the key elements to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51"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Approximately 46% and 34% of our revenue came from sales to academic and government-owned institutions in the three months ended September 30, 2026 and 2025,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p>
    <w:p>
      <w:pPr>
        <w:spacing w:after="0" w:line="4" w:lineRule="exact"/>
        <w:rPr>
          <w:sz w:val="20"/>
          <w:szCs w:val="20"/>
          <w:color w:val="auto"/>
        </w:rPr>
      </w:pPr>
    </w:p>
    <w:p>
      <w:pPr>
        <w:ind w:left="980" w:right="20" w:hanging="486"/>
        <w:spacing w:after="0" w:line="243"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including any reductions in funding to the U.S. National Institutes of Health (“NIH”);</w:t>
      </w:r>
    </w:p>
    <w:p>
      <w:pPr>
        <w:spacing w:after="0" w:line="8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scientists’ and customers’ opinions of the utility of new products or services;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ours.</w:t>
      </w:r>
    </w:p>
    <w:p>
      <w:pPr>
        <w:spacing w:after="0" w:line="11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various state, federal and foreign agencies that have traditionally provided grants and other funding for basic research, research and development, and clinical testing have been and may be subject to further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Recent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For example, the current U.S. administration is seeking to reduce research funding by the NIH for medical research. If the funding is reduced for studies related to the medical indications on which we are focused or on which researchers were or may have been considering applying for federal grants, our research and development initiatives could be delayed or otherwise affected. There is no guarantee that NIH appropriations will not decrease or halt in the future. A decrease in the amount of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the cell analysis and life sciences tools markets. We currently compete with both established and early stage life sciences and in vitro diagnostics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Bio-Rad Laboratories, Standard BioTools Inc., Miltenyi Biotec, Sony Biotechnology (Sony Corporation), Thermo Fisher Scientific, and Waters Corporation.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competitors and potential competitors may enjoy a number of competitive advantages over us, including:</w:t>
      </w:r>
    </w:p>
    <w:p>
      <w:pPr>
        <w:spacing w:after="0" w:line="117"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and market penetration;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 and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technological and research and development resources;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quality assurance and regulatory staff;</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intellectual property portfolios;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system reliability and robustness;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selling and marketing capabilities;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and successfully introduce new and enhanced products that meet the needs of our customers.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accessories,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or adequately predict our customers’ needs or otherwise fail to obtain desired levels of market acceptance, our business may suffer and our operating results could be adversely affected.</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Full Spectrum Profiling (“FSP”) solutions, it could slow or stop our business growth and negatively impact our business, financial condition, results of operations and prospects.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involves a lengthy and complex process and we may be unable to develop or commercialize products on a timely basis, or at all.</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development efforts will produce commercially viable products and solutions and before we can commercialize any new products, we will need to expend significant funds to, for example:</w:t>
      </w:r>
    </w:p>
    <w:p>
      <w:pPr>
        <w:spacing w:after="0" w:line="54"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regulatory approval;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engineering and manufacturing processes to accommodate different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enter into agreements with new suppliers;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w:t>
      </w:r>
    </w:p>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provide reliable, high-quality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customers may discover defects in our products after the products have been fully installed and operated. In addition, some of our products</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 components from other vendors, which may contain latent defects. As a result, should problems occur, it may be difficult to identify the source of the problem. If we are unable to identify and fix defects or other problems, we could experience, among other things:</w:t>
      </w:r>
    </w:p>
    <w:p>
      <w:pPr>
        <w:spacing w:after="0" w:line="54"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orders;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warranty expenses;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engineering and manufacturing resources;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by governmental authorities;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September 30, 2026, we had accrued approximately $1.4 million in expenses relating to product warranty accruals. Substantial amounts of warranty claims could have an adverse effect on our business, financial condition and results of operations.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From time to time, we may pursue acquisitions of businesses and assets. For example, in February 2023, we entered into an asset purchase agreement with Luminex Corporation (“Luminex”) and acquired certain assets related to the flow cytometry and imaging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Wuxi, China; and Singapore require global shipping services that are subject to certain factors outside of our control, such as increased costs due to fuel surcharges or otherwise, delays passing through customs, </w:t>
      </w:r>
      <w:r>
        <w:rPr>
          <w:rFonts w:ascii="Times New Roman" w:cs="Times New Roman" w:eastAsia="Times New Roman" w:hAnsi="Times New Roman"/>
          <w:sz w:val="18"/>
          <w:szCs w:val="18"/>
          <w:color w:val="008080"/>
        </w:rPr>
        <w:t>d</w:t>
      </w:r>
      <w:r>
        <w:rPr>
          <w:rFonts w:ascii="Times New Roman" w:cs="Times New Roman" w:eastAsia="Times New Roman" w:hAnsi="Times New Roman"/>
          <w:sz w:val="18"/>
          <w:szCs w:val="18"/>
          <w:color w:val="auto"/>
        </w:rPr>
        <w:t>isruptions to global shipping routes and fuel scarcity. Geopolitical conflicts and/or regional instability may impact any of the foregoing; for example, fuel surcharges have been announced and, in some cases implemented, by logistics vendors globally, in response to the ongoing and escalating conflicts in the Middle East, and such conflicts may also lead to delays or logistics difficulties in the future.</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future sales will depend, in large part, on our ability to develop and substantially expand our sales infrastructure, particularly as we enter into new markets, roll 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CROs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on a significant base of peer-reviewed publications to showcase and validate the importance and application of our technology in academic and clinical research settings. As of September 30, 2026, there have been more than 4,500 peer-reviewed articles published relating to our FSP products since our first commercial launch in 2017,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has significantly appreciated in value, or if the exercise prices of the options that they hold are significantly below the market price of our common stock.</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we had 703 full-time employees. As our sales and marketing strategies develop,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17"/>
          <w:szCs w:val="17"/>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or timely report our financial condition or results of operations.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our financial statement close process for the year ended December 31, 2024, we identified deficiencies in the control environment and control activities components of the Committee of Sponsoring Organizations (“COSO”) framework that constitute material weaknesses, either individually or in the aggregate. These included deficiencies in the control environment, as well as deficiencies related to control activities related to (i) selecting and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While the identified material weaknesses were remediated in fiscal year 2025, we cannot provide assurance that we will not identify additional material weaknesses in future periods or that we will be successful in remediating any future significant deficiencies or material weaknesses in internal control over financial reporting.</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These deficiencies could result in additional material misstatements to our unaudited interim consolidated financial statements that could not be prevented or detected on a timely basis.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continuing to develop and refine our disclosure controls, internal control over financial reporting and other procedures that are designed to ensure information required to be disclosed by us in our unaudited interim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 Our current controls and any new controls we develop may become inadequate, including due to changes in our business and business conditions. Additionally, to the extent we acquire other businesses, the acquired company may not have a sufficiently robust system of internal controls and we may uncover new deficiencies as part of integration. We currently do not have an internal audit group, and we may need to hire additional accounting and finance staff and consultants with appropriate public company experience and technical accounting knowledge to appropriately maintain effective internal controls over financial reporting. If we identify any additional material weaknesses or are unable to successfully remediate any future material weaknesses in our internal control over financial reporting, the accuracy and timing of our financial reporting may be negatively impacted, we may be unable to maintain compliance with securities law requirements regarding timely filing of periodic reports and applicable stock exchange listing requirements, investors may lose confidence in our financial reporting, and our stock price may decline as a result; additionally, any of the foregoing could restrict our future access to the capital markets. In prior periods, certain filings were made pursuant to Rule 12b-25, and adjustments were made to certain line items in the related financial statements.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of 2002, as amended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our products and/or expand our operations.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some of which are beyond our control, including:</w:t>
      </w:r>
    </w:p>
    <w:p>
      <w:pPr>
        <w:spacing w:after="0" w:line="117"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revenue growth;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operations, including our sales and marketing efforts;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launching and commercializing new products and the cost of the sales and marketing activities associated with establishing adoption of our products;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domestic and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conflicts in the Middle East, government actions implemented as a result of either of the foregoing, as 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54"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seasonality and customer mix of the cell analysis market;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efforts and expenses;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productivity of our sales force;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distribution partners in selling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in the media or publications of our products or competitive products;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arrangements with our suppliers;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the industry in which we do business, including those related to widespread health crises;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financial crises and economic downturns, including those caused by widespread public health crises;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changes in inflation, interest rates, foreign currency rates, liquidity concerns at, and failures of, banks and other financial institutions and the potential effect of such factors on revenues and expenses;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products may be smaller than we estimate.</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have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8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total addressable market for our products is even more difficult to predict.</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substantial liabilities and reputational harm. In addition, regardless of merit or eventual outcome, product liability claims may result in:</w:t>
      </w:r>
    </w:p>
    <w:p>
      <w:pPr>
        <w:spacing w:after="0" w:line="117"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costs;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products or new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from the market;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existing agreements by our partners and potential partners failing to partner with us.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harm our business.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See Note 17 to our unaudited interim consolidated financial statements included elsewhere in this Quarterly Report on Form 10-Q for information regarding ongoing legal proceedings.</w:t>
      </w:r>
    </w:p>
    <w:p>
      <w:pPr>
        <w:spacing w:after="0" w:line="75"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and, as a result, we and the third parties upon whom we rely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attacks, including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(“AI”), and other similar threats. In particular, severe ransomware attacks, including those perpetrated by organized criminal threat actors, nation-states, and nation-state-supported actors, are increasingly prevalent and severe and such an attack has led to, and in the future such attacks can lead to, significant interruptions in our operations and/or ability to provide our products or services, loss of Sensitive Information and income, reputational harm, and/or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 increased risks to our information technology systems and data when utilizing network connections, computers, and devices outside our premises or network.</w:t>
      </w:r>
    </w:p>
    <w:p>
      <w:pPr>
        <w:spacing w:after="0" w:line="66"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It may be, and in certain cases has been,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supply-chain attacks.</w:t>
      </w:r>
    </w:p>
    <w:p>
      <w:pPr>
        <w:spacing w:after="0" w:line="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with whom we work), but have not, and we may not in the future, detect, mitigate,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(and have in the past caused) a security incident or other interruption that could result, and in certain cases in the past has resulted, in unauthorized, unlawful, or accidental acquisition, modification, destruction, loss, alteration, encryption, disclosure of, or access to our Sensitive Information or our information technology systems, or those of the third parties with whom we work. For example, in November 2025, we became aware of a security incident that affected certain of our Sensitive Information, including employee personal information. A security incident or other interruption could disrupt our ability (and that of third parties with whom we work) to provide our products and services. We expend significant resources and may modify our business activities in an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5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of security incidents, including affected individuals, customers, regulators and investors, or to take other actions, such as providing credit monitoring and identity theft protections services, and have done so in the past. Such disclosures and related actions can be costly, and the disclosures or the failure to comply with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diversion of management’s attention; interruptions in our operations (including availability of data); financial loss; and other similar harms. Security incidents and attendant material consequences may cause customers to stop using our products and services, deter new customers from purchasing our products and services, and negatively impact our ability to grow and operate our business.</w:t>
      </w:r>
    </w:p>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0" w:lineRule="exact"/>
        <w:rPr>
          <w:sz w:val="20"/>
          <w:szCs w:val="20"/>
          <w:color w:val="auto"/>
        </w:rPr>
      </w:pPr>
    </w:p>
    <w:p>
      <w:pPr>
        <w:ind w:right="40" w:firstLine="486"/>
        <w:spacing w:after="0" w:line="234" w:lineRule="auto"/>
        <w:rPr>
          <w:sz w:val="20"/>
          <w:szCs w:val="20"/>
          <w:color w:val="auto"/>
        </w:rPr>
      </w:pPr>
      <w:r>
        <w:rPr>
          <w:rFonts w:ascii="Times New Roman" w:cs="Times New Roman" w:eastAsia="Times New Roman" w:hAnsi="Times New Roman"/>
          <w:sz w:val="18"/>
          <w:szCs w:val="18"/>
          <w:color w:val="auto"/>
        </w:rPr>
        <w:t>Our operations (including our manufacturing operations) and the operations of our distribution partners could be subject to earthquakes, power shortages, telecommunications failures, water or fuel shortages, floods, hurricanes, typhoons, fires, extreme weather conditions, medical epidemics and pandemics, and other natural or man-made disasters, including those related to geopolitical conflicts,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9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manufacture our products at our manufacturing facilities located in Fremont and San Diego, California; Wuxi, China; and Singapore;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Operating as a public company may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because our product contains metals and electronic components which are purchased from third-party vendors, we are required under rules promulgated by the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(the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currency exchange risk.</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impact resulting from unfavorable changes in foreign currency exchange rates. We cannot predict with any certainty changes in foreign currency exchange rates or the degree to which we can mitigate these risks.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Our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Currently, our Northern Lights-CLC system is available for clinical use in only China and the European Union. Our Cytek Aurora, Cytek Northern Lights, and Cytek Aurora Evo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8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part of our growth strategy, we plan to seek approval to offer one or more of our systems for clinical use in the United States and/or in other countries. In the United States, before we can market a new medical device, or a new use of, new claim for or significant modification to an existing product, we must first receive either clearance under Section 510(k) of the FDCA, or approval of a premarket approval (“PMA”)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Management System Regulation (“QMSR”)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QMSR and other regulations through periodic inspections. The failure by us or one of our suppliers to comply with applicable statutes and regulations administered by the FDA and other regulatory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bodies, or the failure to timely and adequately respond to any adverse inspectional observations or product safety issues, could result in, among other things, any of the following enforcement actions:</w:t>
      </w:r>
    </w:p>
    <w:p>
      <w:pPr>
        <w:spacing w:after="0" w:line="54"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applications of new products or modified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clearances on PMA applications that have already been granted;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products, including manufacturing problems, or failure to comply with regulatory requirements such as the QMSR,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ordinary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 (the “CCPA”) applies to personal information of consumers, business representatives, and employees, and requires businesses to provide specific disclosures in privacy notices and honor requests of California residents to exercise certain rights related to their personal information. The CCPA provides for fines for noncompliance and allows private litigants affected by certain data breaches to recover significant statutory damages. The CCPA and other U.S. comprehensive privacy laws exempt some data processed in the context of clinical trials, but these developments increase compliance costs and potential liability with respect to other personal information we maintain about residents in these states.</w:t>
      </w:r>
    </w:p>
    <w:p>
      <w:pPr>
        <w:spacing w:after="0" w:line="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with whom we work.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causes us to incur substantial operational costs and may require us to change our business practices, and could lead to material fines, penalties and liability.</w:t>
      </w:r>
    </w:p>
    <w:p>
      <w:pPr>
        <w:spacing w:after="0" w:line="8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many jurisdictions have enacted data localization laws and cross-border data transfer restrictions. These laws may make it more difficult for us to transfer personal information across jurisdictions, which could impede our business. For example, absent appropriate safeguards or other circumstances, the GDPR generally restricts the transfer of personal information to the United States and other countries that are viewed by some regulators to not generally provide an adequate level of data privacy and security. Although there are currently various mechanisms that can be used to transfer personal information from the EEA and UK to the United States in compliance with law, such as the EU standard contractual clauses, the UK’s International Data Transfer Agreement / 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data transfer restrictions and data residency requirements,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U.S. Department of Justice has issued a rule titled “Preventing Access to U.S. Sensitive Personal Data and Government-Related Data by Countries of Concern or Covered Persons,” which places additional restrictions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201"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Our employees and personnel use generative AI and/or automated decision-making technologies to perform their work, and the disclosure and use of personal information in AI technologies is subject to various privacy laws and other privacy obligations. Governments have passed and are likely to pass additional laws regulating AI and/or automated decision-making technologies. Our use of such technologies could result in additional compliance costs, regulatory investigations and actions, and consumer lawsuits. If we are unable to use AI and/or automated decision-making technologies, it could make our business less efficient and result in competitive disadvantages. We also use AI and machine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learning (“ML”)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spacing w:after="0" w:line="8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8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impact our compliance posture and business operations. If we or the third parties with whom we work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regulatory authorities from funding cuts, personnel losses, regulatory reform, government shutdowns, and other developments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their ability to hire and retain key personnel and accept the payment of user fees, and statutory, regulatory, and policy changes. Average review times at the FDA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7"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18"/>
          <w:szCs w:val="18"/>
          <w:color w:val="auto"/>
        </w:rPr>
        <w:t>Over the last several years, the U.S. government has shut down several times, including the government shutdown from October 1, 2025 until November 12, 2025, and certain regulatory agencies, such as the FDA and the SEC, have had to furlough critical employees and stop critical activities. Even the threat of a government shutdown or prolonged budget negotiation uncertainty may adversely affect the broader U.S. economy, investor confidence, and capital markets. Such conditions could negatively impact the liquidity or trading volume of our securities and our customers’ ability to finance and/or purchase our products. Accordingly, a federal government shutdown—or uncertainty regarding the continuity of government operations— could have a material adverse effect on our business, results of operations, and stock price.</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artificial intelligence technologies, combined with an uncertain regulatory environment, may result in reputation harm, liability, or other adverse consequences to our business operations</w:t>
      </w:r>
      <w:r>
        <w:rPr>
          <w:rFonts w:ascii="Times New Roman" w:cs="Times New Roman" w:eastAsia="Times New Roman" w:hAnsi="Times New Roman"/>
          <w:sz w:val="18"/>
          <w:szCs w:val="18"/>
          <w:i w:val="1"/>
          <w:iCs w:val="1"/>
          <w:color w:val="auto"/>
        </w:rPr>
        <w:t>.</w:t>
      </w:r>
    </w:p>
    <w:p>
      <w:pPr>
        <w:spacing w:after="0" w:line="50"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We have and will continue to incorporate AI and/or ML technologies into our business operations and products and services, including through the use of such technologies by our third-party service providers. The use of such rapidly evolving technologies by us and our third-party service providers (whether or not known to us), while presenting significant benefits, can also present risks and challenges to our business. The implementation of artificial intelligence can be costly, and there is no guarantee that our use of AI/ML will enhance our technologies, benefit our business operations, or produce products and services that are preferred by our customers. If these technologies do not perform in accordance with our expectations, including, but not limited to, general failure or biases or errors relating to inaccuracies or flaws in the inputs, outputs, or logic of the AI/ML or if we fail to responsibly deploy artificial intelligence in our operations, such failures may give rise to legal liability, and our business and reputation could suffer.</w:t>
      </w:r>
    </w:p>
    <w:p>
      <w:pPr>
        <w:spacing w:after="0" w:line="87"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development and use of AI technologies present various privacy and security risks that may impact our business. AI technologies are subject to privacy and data security laws, as well as increasing regulation and scrutiny. Further, countries and states are applying their data and consumer protection laws to AI technologies, and particularly generative AI and interactive chatbots.</w:t>
      </w:r>
    </w:p>
    <w:p>
      <w:pPr>
        <w:spacing w:after="0" w:line="82" w:lineRule="exact"/>
        <w:rPr>
          <w:sz w:val="20"/>
          <w:szCs w:val="20"/>
          <w:color w:val="auto"/>
        </w:rPr>
      </w:pPr>
    </w:p>
    <w:p>
      <w:pPr>
        <w:jc w:val="both"/>
        <w:ind w:firstLine="486"/>
        <w:spacing w:after="0" w:line="243" w:lineRule="auto"/>
        <w:rPr>
          <w:sz w:val="20"/>
          <w:szCs w:val="20"/>
          <w:color w:val="auto"/>
        </w:rPr>
      </w:pPr>
      <w:r>
        <w:rPr>
          <w:rFonts w:ascii="Times New Roman" w:cs="Times New Roman" w:eastAsia="Times New Roman" w:hAnsi="Times New Roman"/>
          <w:sz w:val="18"/>
          <w:szCs w:val="18"/>
          <w:color w:val="auto"/>
        </w:rPr>
        <w:t>Several jurisdictions around the globe, including Europe and certain U.S. states, have proposed, enacted, or are considering laws governing the development and use of AI technologies, including, but not limited to, the EU’s AI Act, the Colorado Artificial Intelligence Act, California Bot Disclosure Law,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Certain of our activities may subject us to the EU AI Act and, depending on how the EU AI Act is implemented and interpreted, we may have to adapt our business practices, contractual arrangements, and services to comply with such obligations, if applicable. We expect other jurisdictions will adopt similar laws.</w:t>
      </w:r>
    </w:p>
    <w:p>
      <w:pPr>
        <w:spacing w:after="0" w:line="78"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Additionally, certain privacy laws extend rights to consumers (such as the right to delete certain personal information) and regulate automated decision making, which may be incompatible with our use of AI technologies. These obligations may make it harder for us to conduct our business using AI technologies, lead to regulatory fines or penalties, require us to change our business practices, retrain our AI technologies, or prevent or limit our use of AI technologies. For example, the Federal Trade Commission (“FTC”) has required other companies to disgorge valuable insights or trainings generated through the use of AI technologies where they allege the company has violated privacy and consumer protection laws. If we cannot use AI technologies or that use is restricted, our business may be less efficient, or we may be at a competitive disadvantage.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Any Sensitive Information (including confidential, competitive, proprietary, or personal information) that we input into a third-party AI technology, including, but not limited to, generative AI technology, could be leaked or disclosed to others, including if Sensitive Information is used to train the third parties’ AI technology. Additionally, where an AI technology model ingests personal information and makes connections using such data, those technologies may reveal other personal or Sensitive Information generated by the model.</w:t>
      </w:r>
    </w:p>
    <w:p>
      <w:pPr>
        <w:spacing w:after="0" w:line="69"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AI technologies are evolving rapidly, as are the legal and regulatory landscapes applicable to it in the United States and in jurisdictions around the world, which may result in new and enhanced governmental or regulatory scrutiny, litigation, confidentiality, privacy or security risks, intellectual property risks, ethical concerns, legal liability, or other complications that could adversely affect our business, reputation, financial condition, or results of operations.</w:t>
      </w:r>
    </w:p>
    <w:p>
      <w:pPr>
        <w:spacing w:after="0" w:line="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75" w:lineRule="exact"/>
        <w:rPr>
          <w:sz w:val="20"/>
          <w:szCs w:val="20"/>
          <w:color w:val="auto"/>
        </w:rPr>
      </w:pPr>
    </w:p>
    <w:p>
      <w:pPr>
        <w:jc w:val="both"/>
        <w:ind w:left="980" w:hanging="486"/>
        <w:spacing w:after="0" w:line="25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federal civil False Claims Act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87" w:lineRule="exact"/>
        <w:rPr>
          <w:rFonts w:ascii="Times New Roman" w:cs="Times New Roman" w:eastAsia="Times New Roman" w:hAnsi="Times New Roman"/>
          <w:sz w:val="18"/>
          <w:szCs w:val="18"/>
          <w:color w:val="auto"/>
        </w:rPr>
      </w:pPr>
    </w:p>
    <w:p>
      <w:pPr>
        <w:jc w:val="both"/>
        <w:ind w:left="980" w:hanging="486"/>
        <w:spacing w:after="0" w:line="25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68" w:lineRule="exact"/>
        <w:rPr>
          <w:sz w:val="20"/>
          <w:szCs w:val="20"/>
          <w:color w:val="auto"/>
        </w:rPr>
      </w:pPr>
    </w:p>
    <w:p>
      <w:pPr>
        <w:jc w:val="both"/>
        <w:ind w:left="980" w:hanging="486"/>
        <w:spacing w:after="0" w:line="25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79"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state laws govern the privacy and security of personal information, including the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75" w:lineRule="exact"/>
        <w:rPr>
          <w:rFonts w:ascii="Times New Roman" w:cs="Times New Roman" w:eastAsia="Times New Roman" w:hAnsi="Times New Roman"/>
          <w:sz w:val="18"/>
          <w:szCs w:val="18"/>
          <w:color w:val="auto"/>
        </w:rPr>
      </w:pPr>
    </w:p>
    <w:p>
      <w:pPr>
        <w:jc w:val="both"/>
        <w:ind w:left="980" w:hanging="486"/>
        <w:spacing w:after="0" w:line="25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w:t>
      </w:r>
    </w:p>
    <w:p>
      <w:pPr>
        <w:spacing w:after="0" w:line="79" w:lineRule="exact"/>
        <w:rPr>
          <w:rFonts w:ascii="Times New Roman" w:cs="Times New Roman" w:eastAsia="Times New Roman" w:hAnsi="Times New Roman"/>
          <w:sz w:val="18"/>
          <w:szCs w:val="18"/>
          <w:color w:val="auto"/>
        </w:rPr>
      </w:pPr>
    </w:p>
    <w:p>
      <w:pPr>
        <w:jc w:val="both"/>
        <w:ind w:left="980" w:hanging="486"/>
        <w:spacing w:after="0" w:line="254"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negating any competitive advantage we may have. Any failure to obtain or maintain patent claims and other intellectual property rights with respect to our current and any future products or other aspects of our business could harm our business, financial condition and results of operations.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to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Including rights acquired in connection with the FCI Acquisition, as of September 30, 2026, we own 44 issued U.S. utility patents, 11 issued Japan utility patents, six issued European utility patents, six issued China utility patents, one Canada utility patent, two Australian utility patents, and three Singapore utility patents. We have 69 pending utility patent applications, including 43 utility patent applications in the United States, two international utility patent applications, nine utility patent applications before the European Patent Office, ten utility patent applications in China, and five utility patent applications in Japan. Assuming all maintenance fees are paid, the U.S. issued patents are expected to naturally expire between years 2027 and 2044. Additionally, patents covering intellectual property relating to design specific technologies invented by our researchers in Shanghai and Wuxi, China are filed in China and owned by our China subsidiaries, respectively. As of September 30, 2026, our Shanghai subsidiary owns 12 issued utility patents and eight issued invention patents and has two pending utility patent applications and three pending invention patent applications, and our Wuxi subsidiary owns 45 issued utility patents and one issued invention patent and has nine pending utility patent applications and eight pending invention patent applications.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proceedings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Moreover, in some circumstances, we may not have the right to control the preparation, filing and prosecution of patent applications, or to maintain the patents, covering technology that we license from or license to third parties or that we may jointly 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6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are successfully issued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Some of our patents and patent applications may in the future be jointly 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8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 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outside the United States, selected countries in the European Union, the UK, Japan and China and may not be able to protect our intellectual property and proprietary rights throughout the world, which could harm our business, financial condition and results of operations.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selected countries in the European Union, the UK,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current and any future products.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(the “America Invents Act”),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enacted in September 2011, the United States transitioned to a first to file system in which, assuming that other requirements for patentability are met, the first applicant to file a patent application will be entitled to the patent on an invention regardless of whether a third party was the first to invent the claimed invention. A third party that files a patent application in the USPTO after March 15,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flow cytometry industry is highly competitive and dynamic. Due to the focused research and development being conducted by several companies, including us and our competitors, in this field, the intellectual property landscape is in flux, and it may remain uncertain in the future. As such, we have been and, in the future, could become subject to intellectual property-related litigation and proceedings relating to our or third-party intellectual property and proprietary rights. See Note 17 to our unaudited interim consolidated financial statements included elsewhere in this Quarterly Report on Form 10-Q for further details regarding legal proceedings.</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Any litigation, regardless of its outcome, is inherently uncertain, involves a significant dedication of resources, including time and capital, and diverts management’s attention from our other activities. As a result, any current or future claims, allegations, or challenges by or against third parties, whether eventually decided in our favor or settled, could materially adversely affect our business, financial condition and results of operations.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 Additionally, in August 2024, Beckman Coulter, Inc. (“Beckman Coulter”) filed suit against us in federal court in the District of Delaware (the “Beckman Coulter Litigation”), alleging that certain of our products infringe its patents. As further discussed in Note 17 to our unaudited interim consolidated financial statements included elsewhere in this Quarterly Report on Form 10-Q, a jury trial was held in August 2026. The jury awarded past damages consisting of $20 million in lost profits and $36.11 million in royalties. Beckman Coulter has also moved for pre- and post-judgment interest, supplemental damages and an ongoing royalty, none of which has been awarded. While we believe the jury’s infringement finding and damages award are not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legally or factually supported and are pursuing post-trial motions and other available remedies, there can be no assurances that such efforts will be successful. The outcomes of these matters are inherently unpredictable and subject to significant uncertainties. Determining legal reserves or possible losses for ongoing legal proceedings involves judgment and may not reflect the full range of uncertainties and unpredictable outcomes. Until the final resolution of such matters, there can be no assurance that an adverse outcome will not occur, and any such outcome could have a material adverse effect on our business, financial condition and results of operations. Should any of our estimates and assumptions change or prove to have been incorrect, it could have a material adverse effect on our financial condition and cash flows. See Note 17 to our unaudited interim consolidated financial statements included elsewhere in this Quarterly Report on Form 10-Q for additional details.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and laboratory equipment industries are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arising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8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event that any third party claims that we infringe its patents or that we are otherwise employing its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any future licensing partners. In addition, we have been and may in the future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a key information technology system, process, or site could have an adverse effect on our business.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rely extensively on information technology systems to conduct our business. These systems affect, among other things, ordering and managing materials from suppliers, shipping products, processing transactions, complying with</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regulatory, legal or tax requirements, data security and other processes necessary to manage our business. Our systems and the data contained on them are and have been subject to computer viruses, ransomware or other malware, attacks by computer hackers, social engineering (including phishing), supply-chain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compromise our ability to offer our services and subject us to possible litigation.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use open source software in connection with the software integrated in our instruments as well as our Cytek Cloud software.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be volatile, and our stockholders may not be able to resell shares of our common stock at or above the price they paid.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68"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adoption of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investors;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including as a result of anticipated or unanticipated demand based on seasonal factors;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issues related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 by us or our stockholders, as well as the anticipation of lock-up releases;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any of our third-party distribution partners and suppliers, including our single and sole-source suppliers;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engage additional distribution partners and establish collaborations, if needed;</w:t>
      </w:r>
    </w:p>
    <w:p>
      <w:pPr>
        <w:spacing w:after="0" w:line="117" w:lineRule="exact"/>
        <w:rPr>
          <w:rFonts w:ascii="Times New Roman" w:cs="Times New Roman" w:eastAsia="Times New Roman" w:hAnsi="Times New Roman"/>
          <w:sz w:val="18"/>
          <w:szCs w:val="18"/>
          <w:color w:val="auto"/>
        </w:rPr>
      </w:pPr>
    </w:p>
    <w:p>
      <w:pPr>
        <w:ind w:left="980" w:hanging="486"/>
        <w:spacing w:after="0" w:line="261"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22" w:lineRule="exact"/>
        <w:rPr>
          <w:rFonts w:ascii="Times New Roman" w:cs="Times New Roman" w:eastAsia="Times New Roman" w:hAnsi="Times New Roman"/>
          <w:sz w:val="18"/>
          <w:szCs w:val="18"/>
          <w:color w:val="auto"/>
        </w:rPr>
      </w:pPr>
    </w:p>
    <w:p>
      <w:pPr>
        <w:jc w:val="both"/>
        <w:ind w:left="980" w:hanging="486"/>
        <w:spacing w:after="0" w:line="239" w:lineRule="auto"/>
        <w:tabs>
          <w:tab w:leader="none" w:pos="97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economic, regulatory and market conditions, including the general inflationary environment, economic recessions or slowdowns, as well as geopolitical trends, changes or events such as the ongoing war in Ukraine, and conflicts in the Middle East, and the regional and global ramifications of these events; and</w:t>
      </w:r>
    </w:p>
    <w:p>
      <w:pPr>
        <w:spacing w:after="0" w:line="91"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or securities convertible into our common stock will result in additional dilution of the percentage of ownership of our stockholders and could cause the market price of our common stock to decline.</w:t>
      </w:r>
    </w:p>
    <w:p>
      <w:pPr>
        <w:spacing w:after="0" w:line="5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and their respective affiliates, if they choose to act together, have the ability to significantly influence all matters submitted to stockholders for approval.</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executive officers, directors, and holders of 5% or more of our common stock and their respective affiliates hold a significant amount of our common stock. These stockholders, if they choose to act together, would be able 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left="98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General Corporation Law of the State of Delaware (the “DGCL”),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change-of-control transaction or changes in our board of directors could cause the market price of our common stock to decline.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choice-of-forum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preparation of our unaudited interim consolidated financial statements in conformity with generally accepted accounting principles requires management to make estimates and assumptions that affect the amounts reported in our unaudited interim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the Dodd-Frank Wall Street Reform and Consumer Protection Act (the “Dodd-Frank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have devoted and will continue to devote a substantial amount of time to compliance with these requirements. Moreover, these rules and regulations increase our legal and financial compliance costs and make some activities more time-consuming and costly. The additional costs we incur as a public company could negatively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(“NOLs”) to offset future taxable income may be subject to certain limitations.</w:t>
      </w:r>
    </w:p>
    <w:p>
      <w:pPr>
        <w:spacing w:after="0" w:line="108"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(“Code”), and similar provisions of state and local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In addition, while U.S. federal NOLs arising in tax years beginning after December 31, 2017 may be carried forward indefinitely, such NOL carryforwards cannot offset more than 80% of taxable income in any tax year. We determined that ownership changes occurred in 2018 and 2020 and in connection with our initial public offering in 2021. In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In addition, at the state level, there may be periods during which the use of NOLs is suspended or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otherwise limited, which could accelerate or permanently increase state taxes owed. Any such limitations may result in the expiration of the state net operating loss carryforwards before they can be fully utilized.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and regulations may have a material adverse effect on our business, financial condition and results of operations.</w:t>
      </w:r>
    </w:p>
    <w:p>
      <w:pPr>
        <w:spacing w:after="0" w:line="108"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For instance, legislation commonly referred to as the One Big Beautiful Bill Act (the “OBBBA”) enacted in 2025, the Inflation Reduction Act enacted in 2022, the Coronavirus Aid, Relief, and Economic Security Act enacted in 2020, and legislation informally titled the Tax Cuts and Jobs Act enacted in 2017 made significant changes to the U.S. tax laws. Future guidance from the Internal Revenue Service and other tax authorities with respect to any such tax legislation may affect us, and certain aspects of prior tax legislation could be repealed or modified in future legislation. Changes in corporate tax rates, the realization of net deferred tax assets relating to our U.S. operations and the deductibility of expenses under current tax law or future tax reform legislation could have a material impact on the value of our deferred tax assets, could result in significant one-time charges in the current or future taxable years and could increase our future U.S. tax expense. We urge investors to consult with their legal and tax advisers regarding the implication of potential changes in tax laws on an investment in our common stock.</w:t>
      </w:r>
    </w:p>
    <w:p>
      <w:pPr>
        <w:spacing w:after="0" w:line="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July 2021, we issued and sold an aggregate of 13,949,401 shares of common stock in connection with our initial public offering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none of our directors and officers (as defined in Rule 16a-1(f) under the Exchange Act) adopted or terminated any “Rule 10b5-1 trading arrangement” or “non-Rule 10b5-1 trading arrangement,” as those terms are defined in Item 408 of Regulation S-K.</w:t>
      </w:r>
    </w:p>
    <w:p>
      <w:pPr>
        <w:spacing w:after="0" w:line="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
                <w:szCs w:val="2"/>
                <w:color w:val="auto"/>
              </w:rPr>
            </w:pPr>
          </w:p>
        </w:tc>
        <w:tc>
          <w:tcPr>
            <w:tcW w:w="4360" w:type="dxa"/>
            <w:vAlign w:val="bottom"/>
            <w:gridSpan w:val="18"/>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01"/>
        </w:trPr>
        <w:tc>
          <w:tcPr>
            <w:tcW w:w="11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8"/>
            <w:vMerge w:val="continue"/>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240" w:type="dxa"/>
            <w:vAlign w:val="bottom"/>
          </w:tcPr>
          <w:p>
            <w:pPr>
              <w:spacing w:after="0"/>
              <w:rPr>
                <w:sz w:val="17"/>
                <w:szCs w:val="17"/>
                <w:color w:val="auto"/>
              </w:rPr>
            </w:pPr>
          </w:p>
        </w:tc>
        <w:tc>
          <w:tcPr>
            <w:tcW w:w="100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File No.</w:t>
            </w:r>
          </w:p>
        </w:tc>
        <w:tc>
          <w:tcPr>
            <w:tcW w:w="1200" w:type="dxa"/>
            <w:vAlign w:val="bottom"/>
            <w:gridSpan w:val="3"/>
          </w:tcPr>
          <w:p>
            <w:pPr>
              <w:ind w:left="240"/>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6"/>
          </w:tcPr>
          <w:p>
            <w:pPr>
              <w:spacing w:after="0"/>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Amended and Restated Certificate of Incorporation</w:t>
              </w:r>
            </w:hyperlink>
          </w:p>
        </w:tc>
        <w:tc>
          <w:tcPr>
            <w:tcW w:w="680" w:type="dxa"/>
            <w:vAlign w:val="bottom"/>
            <w:gridSpan w:val="12"/>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3"/>
          </w:tcPr>
          <w:p>
            <w:pPr>
              <w:jc w:val="cente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001-40632</w:t>
              </w:r>
            </w:hyperlink>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07/27/2021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gridSpan w:val="2"/>
          </w:tcPr>
          <w:p>
            <w:pPr>
              <w:spacing w:after="0"/>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Amended and Restated Bylaws</w:t>
              </w:r>
            </w:hyperlink>
          </w:p>
        </w:tc>
        <w:tc>
          <w:tcPr>
            <w:tcW w:w="1420" w:type="dxa"/>
            <w:vAlign w:val="bottom"/>
            <w:gridSpan w:val="4"/>
          </w:tcPr>
          <w:p>
            <w:pPr>
              <w:spacing w:after="0"/>
              <w:rPr>
                <w:sz w:val="21"/>
                <w:szCs w:val="21"/>
                <w:color w:val="auto"/>
              </w:rPr>
            </w:pPr>
          </w:p>
        </w:tc>
        <w:tc>
          <w:tcPr>
            <w:tcW w:w="680" w:type="dxa"/>
            <w:vAlign w:val="bottom"/>
            <w:gridSpan w:val="12"/>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3"/>
          </w:tcPr>
          <w:p>
            <w:pPr>
              <w:jc w:val="cente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001-40632</w:t>
              </w:r>
            </w:hyperlink>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09/29/2026</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Severance Agreement and Consulting Agreement by and</w:t>
              </w:r>
            </w:hyperlink>
          </w:p>
        </w:tc>
        <w:tc>
          <w:tcPr>
            <w:tcW w:w="240" w:type="dxa"/>
            <w:vAlign w:val="bottom"/>
            <w:gridSpan w:val="4"/>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001-40632</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8/5/2026</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bottom w:val="single" w:sz="8" w:color="0000FF"/>
            </w:tcBorders>
            <w:gridSpan w:val="16"/>
          </w:tcPr>
          <w:p>
            <w:pPr>
              <w:spacing w:after="0" w:line="182"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between Cytek Biosciences, Inc. and Valerie Barnett, dated</w:t>
              </w:r>
            </w:hyperlink>
          </w:p>
        </w:tc>
        <w:tc>
          <w:tcPr>
            <w:tcW w:w="10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8"/>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July 9 and July 10, 2026.</w:t>
              </w:r>
            </w:hyperlink>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Offer Letter by and between Cytek Biosciences, Inc. and</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Philippe Busque dated August 18, 2026</w:t>
            </w:r>
          </w:p>
        </w:tc>
        <w:tc>
          <w:tcPr>
            <w:tcW w:w="1240" w:type="dxa"/>
            <w:vAlign w:val="bottom"/>
            <w:tcBorders>
              <w:top w:val="single" w:sz="8" w:color="0000FF"/>
            </w:tcBorders>
            <w:gridSpan w:val="8"/>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Second Amended and Restated Severance Benefit Plan</w:t>
            </w:r>
          </w:p>
        </w:tc>
        <w:tc>
          <w:tcPr>
            <w:tcW w:w="380" w:type="dxa"/>
            <w:vAlign w:val="bottom"/>
            <w:gridSpan w:val="8"/>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by</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8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60" w:type="dxa"/>
            <w:vAlign w:val="bottom"/>
            <w:tcBorders>
              <w:top w:val="single" w:sz="8" w:color="0000FF"/>
            </w:tcBorders>
            <w:gridSpan w:val="12"/>
          </w:tcPr>
          <w:p>
            <w:pPr>
              <w:spacing w:after="0"/>
              <w:rPr>
                <w:sz w:val="15"/>
                <w:szCs w:val="15"/>
                <w:color w:val="auto"/>
              </w:rPr>
            </w:pPr>
          </w:p>
        </w:tc>
        <w:tc>
          <w:tcPr>
            <w:tcW w:w="1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by</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Rule 13a-14(a) or Rule 15d-14(a) of the Securities</w:t>
            </w:r>
          </w:p>
        </w:tc>
        <w:tc>
          <w:tcPr>
            <w:tcW w:w="26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80" w:type="dxa"/>
            <w:vAlign w:val="bottom"/>
            <w:gridSpan w:val="6"/>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60" w:type="dxa"/>
            <w:vAlign w:val="bottom"/>
            <w:tcBorders>
              <w:top w:val="single" w:sz="8" w:color="0000FF"/>
            </w:tcBorders>
            <w:gridSpan w:val="12"/>
          </w:tcPr>
          <w:p>
            <w:pPr>
              <w:spacing w:after="0"/>
              <w:rPr>
                <w:sz w:val="15"/>
                <w:szCs w:val="15"/>
                <w:color w:val="auto"/>
              </w:rPr>
            </w:pPr>
          </w:p>
        </w:tc>
        <w:tc>
          <w:tcPr>
            <w:tcW w:w="1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w:t>
            </w:r>
          </w:p>
        </w:tc>
        <w:tc>
          <w:tcPr>
            <w:tcW w:w="400" w:type="dxa"/>
            <w:vAlign w:val="bottom"/>
            <w:gridSpan w:val="9"/>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80" w:type="dxa"/>
            <w:vAlign w:val="bottom"/>
            <w:gridSpan w:val="6"/>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w:t>
            </w:r>
          </w:p>
        </w:tc>
        <w:tc>
          <w:tcPr>
            <w:tcW w:w="460" w:type="dxa"/>
            <w:vAlign w:val="bottom"/>
            <w:gridSpan w:val="11"/>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80" w:type="dxa"/>
            <w:vAlign w:val="bottom"/>
            <w:gridSpan w:val="6"/>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72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0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4"/>
                <w:szCs w:val="24"/>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4"/>
                <w:szCs w:val="24"/>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and contained in Exhibits 101).</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80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17" w:lineRule="exact"/>
        <w:rPr>
          <w:sz w:val="20"/>
          <w:szCs w:val="20"/>
          <w:color w:val="auto"/>
        </w:rPr>
      </w:pPr>
    </w:p>
    <w:p>
      <w:pPr>
        <w:jc w:val="both"/>
        <w:ind w:left="180" w:hanging="172"/>
        <w:spacing w:after="0" w:line="261" w:lineRule="auto"/>
        <w:tabs>
          <w:tab w:leader="none" w:pos="1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37"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9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6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5080" w:val="left"/>
          <w:tab w:leader="none" w:pos="762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McCombe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9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William McCombe</w:t>
      </w:r>
    </w:p>
    <w:p>
      <w:pPr>
        <w:spacing w:after="0" w:line="6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37310" cy="436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36880"/>
                    </a:xfrm>
                    <a:prstGeom prst="rect">
                      <a:avLst/>
                    </a:prstGeom>
                    <a:noFill/>
                  </pic:spPr>
                </pic:pic>
              </a:graphicData>
            </a:graphic>
          </wp:anchor>
        </w:drawing>
        <w:t>August 18,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Philippe Busque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Philippe,</w:t>
      </w:r>
    </w:p>
    <w:p>
      <w:pPr>
        <w:spacing w:after="0" w:line="24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 xml:space="preserve">CYTEK BIOSCIENCES, INC. (“Cytek” or the “Company”) is pleased to offer you the position of </w:t>
      </w:r>
      <w:r>
        <w:rPr>
          <w:rFonts w:ascii="Times New Roman" w:cs="Times New Roman" w:eastAsia="Times New Roman" w:hAnsi="Times New Roman"/>
          <w:sz w:val="18"/>
          <w:szCs w:val="18"/>
          <w:b w:val="1"/>
          <w:bCs w:val="1"/>
          <w:color w:val="auto"/>
        </w:rPr>
        <w:t>Regional General Manager</w:t>
      </w:r>
      <w:r>
        <w:rPr>
          <w:rFonts w:ascii="Times New Roman" w:cs="Times New Roman" w:eastAsia="Times New Roman" w:hAnsi="Times New Roman"/>
          <w:sz w:val="18"/>
          <w:szCs w:val="18"/>
          <w:color w:val="auto"/>
        </w:rPr>
        <w:t>. This offer letter supersedes and replaces the offer letter previously provided to you regarding this position.</w:t>
      </w:r>
    </w:p>
    <w:p>
      <w:pPr>
        <w:spacing w:after="0" w:line="1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You will report to Wenbin Jiang, Chief Executive Officer. Your position will be based remotely in the United States, with travel to the Cytek Fremont office and your designated region as business needs require.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may modify your position, duties, or reporting relationship as business needs require. Any Company-requested permanent relocation will be mutually agreed upon in writing and include reasonable relocation assistance. The Company will also provide reasonable immigration support for authorized business travel and the performance of your duties.</w:t>
      </w:r>
    </w:p>
    <w:p>
      <w:pPr>
        <w:spacing w:after="0" w:line="20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Subject to approval by the Company’s Board of Directors or its designated committee (the “Board”), your compensation will be comprised of the following:</w:t>
      </w:r>
    </w:p>
    <w:p>
      <w:pPr>
        <w:ind w:left="640" w:hanging="32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annual base salary will be </w:t>
      </w:r>
      <w:r>
        <w:rPr>
          <w:rFonts w:ascii="Times New Roman" w:cs="Times New Roman" w:eastAsia="Times New Roman" w:hAnsi="Times New Roman"/>
          <w:sz w:val="18"/>
          <w:szCs w:val="18"/>
          <w:b w:val="1"/>
          <w:bCs w:val="1"/>
          <w:color w:val="auto"/>
        </w:rPr>
        <w:t>$369,000.00</w:t>
      </w:r>
      <w:r>
        <w:rPr>
          <w:rFonts w:ascii="Times New Roman" w:cs="Times New Roman" w:eastAsia="Times New Roman" w:hAnsi="Times New Roman"/>
          <w:sz w:val="18"/>
          <w:szCs w:val="18"/>
          <w:color w:val="auto"/>
        </w:rPr>
        <w:t>, less payroll deductions and all required withholdings.</w:t>
      </w:r>
    </w:p>
    <w:p>
      <w:pPr>
        <w:spacing w:after="0" w:line="9" w:lineRule="exact"/>
        <w:rPr>
          <w:rFonts w:ascii="Times New Roman" w:cs="Times New Roman" w:eastAsia="Times New Roman" w:hAnsi="Times New Roman"/>
          <w:sz w:val="18"/>
          <w:szCs w:val="18"/>
          <w:color w:val="auto"/>
        </w:rPr>
      </w:pPr>
    </w:p>
    <w:p>
      <w:pPr>
        <w:ind w:left="640" w:right="440" w:hanging="326"/>
        <w:spacing w:after="0" w:line="260" w:lineRule="auto"/>
        <w:tabs>
          <w:tab w:leader="none" w:pos="6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are eligible to participate in Cytek’s Annual Bonus Program. Your target bonus is </w:t>
      </w: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color w:val="auto"/>
        </w:rPr>
        <w:t xml:space="preserve"> of your annual base salary. Actual payout is dependent on your performance and the Company’s overall performance.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paid bi-weekly, and you will be eligible for the following standard company benefits:</w:t>
      </w:r>
    </w:p>
    <w:p>
      <w:pPr>
        <w:spacing w:after="0" w:line="131" w:lineRule="exact"/>
        <w:rPr>
          <w:sz w:val="20"/>
          <w:szCs w:val="20"/>
          <w:color w:val="auto"/>
        </w:rPr>
      </w:pPr>
    </w:p>
    <w:p>
      <w:pPr>
        <w:ind w:left="640"/>
        <w:spacing w:after="0"/>
        <w:tabs>
          <w:tab w:leader="none" w:pos="1740" w:val="left"/>
        </w:tabs>
        <w:rPr>
          <w:sz w:val="20"/>
          <w:szCs w:val="20"/>
          <w:color w:val="auto"/>
        </w:rPr>
      </w:pPr>
      <w:r>
        <w:rPr>
          <w:rFonts w:ascii="Times New Roman" w:cs="Times New Roman" w:eastAsia="Times New Roman" w:hAnsi="Times New Roman"/>
          <w:sz w:val="18"/>
          <w:szCs w:val="18"/>
          <w:color w:val="auto"/>
        </w:rPr>
        <w:t>Medical</w:t>
      </w:r>
      <w:r>
        <w:rPr>
          <w:sz w:val="20"/>
          <w:szCs w:val="20"/>
          <w:color w:val="auto"/>
        </w:rPr>
        <w:tab/>
      </w:r>
      <w:r>
        <w:rPr>
          <w:rFonts w:ascii="Times New Roman" w:cs="Times New Roman" w:eastAsia="Times New Roman" w:hAnsi="Times New Roman"/>
          <w:sz w:val="18"/>
          <w:szCs w:val="18"/>
          <w:color w:val="auto"/>
        </w:rPr>
        <w:t>Flexible account (HSA, FSA)</w:t>
      </w:r>
    </w:p>
    <w:p>
      <w:pPr>
        <w:spacing w:after="0" w:line="16" w:lineRule="exact"/>
        <w:rPr>
          <w:sz w:val="20"/>
          <w:szCs w:val="20"/>
          <w:color w:val="auto"/>
        </w:rPr>
      </w:pPr>
    </w:p>
    <w:p>
      <w:pPr>
        <w:ind w:left="640"/>
        <w:spacing w:after="0"/>
        <w:tabs>
          <w:tab w:leader="none" w:pos="1640" w:val="left"/>
        </w:tabs>
        <w:rPr>
          <w:sz w:val="20"/>
          <w:szCs w:val="20"/>
          <w:color w:val="auto"/>
        </w:rPr>
      </w:pPr>
      <w:r>
        <w:rPr>
          <w:rFonts w:ascii="Times New Roman" w:cs="Times New Roman" w:eastAsia="Times New Roman" w:hAnsi="Times New Roman"/>
          <w:sz w:val="18"/>
          <w:szCs w:val="18"/>
          <w:color w:val="auto"/>
        </w:rPr>
        <w:t>Dental</w:t>
      </w:r>
      <w:r>
        <w:rPr>
          <w:sz w:val="20"/>
          <w:szCs w:val="20"/>
          <w:color w:val="auto"/>
        </w:rPr>
        <w:tab/>
      </w:r>
      <w:r>
        <w:rPr>
          <w:rFonts w:ascii="Times New Roman" w:cs="Times New Roman" w:eastAsia="Times New Roman" w:hAnsi="Times New Roman"/>
          <w:sz w:val="18"/>
          <w:szCs w:val="18"/>
          <w:color w:val="auto"/>
        </w:rPr>
        <w:t>Vision</w:t>
      </w:r>
    </w:p>
    <w:p>
      <w:pPr>
        <w:spacing w:after="0" w:line="7" w:lineRule="exact"/>
        <w:rPr>
          <w:sz w:val="20"/>
          <w:szCs w:val="20"/>
          <w:color w:val="auto"/>
        </w:rPr>
      </w:pPr>
    </w:p>
    <w:p>
      <w:pPr>
        <w:ind w:left="640"/>
        <w:spacing w:after="0"/>
        <w:tabs>
          <w:tab w:leader="none" w:pos="2200" w:val="left"/>
        </w:tabs>
        <w:rPr>
          <w:sz w:val="20"/>
          <w:szCs w:val="20"/>
          <w:color w:val="auto"/>
        </w:rPr>
      </w:pPr>
      <w:r>
        <w:rPr>
          <w:rFonts w:ascii="Times New Roman" w:cs="Times New Roman" w:eastAsia="Times New Roman" w:hAnsi="Times New Roman"/>
          <w:sz w:val="18"/>
          <w:szCs w:val="18"/>
          <w:color w:val="auto"/>
        </w:rPr>
        <w:t>Life Insurance</w:t>
      </w:r>
      <w:r>
        <w:rPr>
          <w:sz w:val="20"/>
          <w:szCs w:val="20"/>
          <w:color w:val="auto"/>
        </w:rPr>
        <w:tab/>
      </w:r>
      <w:r>
        <w:rPr>
          <w:rFonts w:ascii="Times New Roman" w:cs="Times New Roman" w:eastAsia="Times New Roman" w:hAnsi="Times New Roman"/>
          <w:sz w:val="18"/>
          <w:szCs w:val="18"/>
          <w:color w:val="auto"/>
        </w:rPr>
        <w:t>10 Holidays</w:t>
      </w:r>
    </w:p>
    <w:p>
      <w:pPr>
        <w:spacing w:after="0" w:line="9"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auto"/>
        </w:rPr>
        <w:t>401(k) plan</w:t>
      </w:r>
      <w:r>
        <w:rPr>
          <w:sz w:val="20"/>
          <w:szCs w:val="20"/>
          <w:color w:val="auto"/>
        </w:rPr>
        <w:tab/>
      </w:r>
      <w:r>
        <w:rPr>
          <w:rFonts w:ascii="Times New Roman" w:cs="Times New Roman" w:eastAsia="Times New Roman" w:hAnsi="Times New Roman"/>
          <w:sz w:val="17"/>
          <w:szCs w:val="17"/>
          <w:color w:val="auto"/>
        </w:rPr>
        <w:t>Unlimited Paid Time Off</w:t>
      </w:r>
    </w:p>
    <w:p>
      <w:pPr>
        <w:spacing w:after="0" w:line="23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accordance with the Company’s rehire guidelines and the terms of the applicable plans and policies, your prior service will be recognized for eligible benefits and service-based programs.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Subject to approval by the Board or a committee of the Board and your execution of related documents, you will receive equity grants in the value amount of </w:t>
      </w:r>
      <w:r>
        <w:rPr>
          <w:rFonts w:ascii="Times New Roman" w:cs="Times New Roman" w:eastAsia="Times New Roman" w:hAnsi="Times New Roman"/>
          <w:sz w:val="18"/>
          <w:szCs w:val="18"/>
          <w:b w:val="1"/>
          <w:bCs w:val="1"/>
          <w:color w:val="auto"/>
        </w:rPr>
        <w:t>$400,000.00</w:t>
      </w:r>
      <w:r>
        <w:rPr>
          <w:rFonts w:ascii="Times New Roman" w:cs="Times New Roman" w:eastAsia="Times New Roman" w:hAnsi="Times New Roman"/>
          <w:sz w:val="18"/>
          <w:szCs w:val="18"/>
          <w:color w:val="auto"/>
        </w:rPr>
        <w:t>, comprised of 25% value in stock options and 75% value in restricted stock units (RSUs).</w:t>
      </w:r>
    </w:p>
    <w:p>
      <w:pPr>
        <w:spacing w:after="0" w:line="189" w:lineRule="exact"/>
        <w:rPr>
          <w:sz w:val="20"/>
          <w:szCs w:val="20"/>
          <w:color w:val="auto"/>
        </w:rPr>
      </w:pPr>
    </w:p>
    <w:p>
      <w:pPr>
        <w:ind w:left="640" w:right="100" w:hanging="324"/>
        <w:spacing w:after="0" w:line="266"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stock options will be determined based upon the fair value (Black-Scholes methodology) of Cytek common stock on the date of grant. The stock options will vest over four years with 25% vesting on the first anniversary of the grant date and 1/48 of the total grant vesting each month thereafter, subject to the conditions of the grant and your continuous service with the Company.</w:t>
      </w:r>
    </w:p>
    <w:p>
      <w:pPr>
        <w:spacing w:after="0" w:line="202" w:lineRule="exact"/>
        <w:rPr>
          <w:rFonts w:ascii="Times New Roman" w:cs="Times New Roman" w:eastAsia="Times New Roman" w:hAnsi="Times New Roman"/>
          <w:sz w:val="18"/>
          <w:szCs w:val="18"/>
          <w:color w:val="auto"/>
        </w:rPr>
      </w:pPr>
    </w:p>
    <w:p>
      <w:pPr>
        <w:ind w:left="640" w:hanging="324"/>
        <w:spacing w:after="0" w:line="25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RSUs will be determined based upon the closing sale price of Cytek common stock on the date of grant. The RSUs will vest at a rate of approximately 25% on the first anniversary of the grant date and approximately 3/48 of the total grant each quarter thereafter for the remaining three years; provided that RSUs will vest only on the Company’s preset RSU vesting dates, in each case, subject to your continued employment with the Company. Accordingly, the first tranche of your RSUs will not vest until the Company’s first preset RSU vesting date following the first anniversary of the grant date, and the number of RSUs vesting on such date will be adjusted accordingly. For your reference, the Company’s preset RSU vesting dates are currently March 10, May 18, August 18 and November 18 of each year. If you are designated as a Section 16 officer, the shares will be subject to net issuance upon vesting for tax withholdings. Otherwise, in the event that the Company’s trading window under its Insider Trading Policy is closed on a vesting date, such shares shall not be delivered on such date and shall instead be delivered as soon as reasonably practicable thereafter.</w:t>
      </w:r>
    </w:p>
    <w:p>
      <w:pPr>
        <w:sectPr>
          <w:pgSz w:w="11900" w:h="16838" w:orient="portrait"/>
          <w:cols w:equalWidth="0" w:num="1">
            <w:col w:w="10860"/>
          </w:cols>
          <w:pgMar w:left="660" w:top="1404" w:right="379" w:bottom="1440" w:gutter="0" w:footer="0" w:header="0"/>
        </w:sectPr>
      </w:pPr>
    </w:p>
    <w:bookmarkStart w:id="94" w:name="page95"/>
    <w:bookmarkEnd w:id="94"/>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37310" cy="436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36880"/>
                    </a:xfrm>
                    <a:prstGeom prst="rect">
                      <a:avLst/>
                    </a:prstGeom>
                    <a:noFill/>
                  </pic:spPr>
                </pic:pic>
              </a:graphicData>
            </a:graphic>
          </wp:anchor>
        </w:drawing>
      </w: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you will be eligible to participate in the Company’s 2021 Employee Stock Purchase Program (the “ESPP Program”) and the Company’s Severance Benefit Plan. You may elect to participate in the ESPP Program during any enrollment period following commencement of your employment with the Company. Your participation in the Company’s Severance Benefit Plan will be conditioned upon your execution of a Participation Agreement following commencement of your employment with the Company.</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may modify your compensation and benefits from time to time as it deems necessary. Additional information about Company benefits can be provided upon request.</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Cytek employee, you will be expected to abide by Company rules and regulations and corporate governance policies, copies of which will be provided to you upon employment for review and acknowledgment. You will also be required to sign and comply with a Proprietary Information and Inventions Agreement, which prohibits unauthorized use or disclosure of Company proprietary information. You will also be required to review and acknowledge by signature the Company Handbook.</w:t>
      </w:r>
    </w:p>
    <w:p>
      <w:pPr>
        <w:spacing w:after="0" w:line="20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Normal working hours are from 8:30 a.m. to 5:30 p.m., Monday through Friday. As an exempt employee, you may be asked to work additional hours as required by the nature of your work assignments.</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 xml:space="preserve">We expect that you will start performing the duties of your new position on </w:t>
      </w:r>
      <w:r>
        <w:rPr>
          <w:rFonts w:ascii="Times New Roman" w:cs="Times New Roman" w:eastAsia="Times New Roman" w:hAnsi="Times New Roman"/>
          <w:sz w:val="18"/>
          <w:szCs w:val="18"/>
          <w:b w:val="1"/>
          <w:bCs w:val="1"/>
          <w:color w:val="auto"/>
        </w:rPr>
        <w:t>August 24, 2026</w:t>
      </w:r>
      <w:r>
        <w:rPr>
          <w:rFonts w:ascii="Times New Roman" w:cs="Times New Roman" w:eastAsia="Times New Roman" w:hAnsi="Times New Roman"/>
          <w:sz w:val="18"/>
          <w:szCs w:val="18"/>
          <w:color w:val="auto"/>
        </w:rPr>
        <w:t xml:space="preserve">. Please return a signed copy of this offer on or before </w:t>
      </w:r>
      <w:r>
        <w:rPr>
          <w:rFonts w:ascii="Times New Roman" w:cs="Times New Roman" w:eastAsia="Times New Roman" w:hAnsi="Times New Roman"/>
          <w:sz w:val="18"/>
          <w:szCs w:val="18"/>
          <w:b w:val="1"/>
          <w:bCs w:val="1"/>
          <w:color w:val="auto"/>
        </w:rPr>
        <w:t>August 19, 2026</w:t>
      </w:r>
      <w:r>
        <w:rPr>
          <w:rFonts w:ascii="Times New Roman" w:cs="Times New Roman" w:eastAsia="Times New Roman" w:hAnsi="Times New Roman"/>
          <w:sz w:val="18"/>
          <w:szCs w:val="18"/>
          <w:color w:val="auto"/>
        </w:rPr>
        <w:t>, at which time this offer expires if not previously accepted.</w:t>
      </w:r>
    </w:p>
    <w:p>
      <w:pPr>
        <w:spacing w:after="0" w:line="18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You may terminate your employment with Company at any time and for any reason whatsoever simply by notifying the Company. Likewise, the Company may terminate your employment at any time and for any reason whatsoever, with or without cause or advance notice. This at-will employment relationship cannot be changed except in writing signed by a Company officer.</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aid the rapid and economical resolution of disputes that may arise in connection with your employment with the Company, and in exchange for the mutual promises contained in this offer letter agreement, you and the Company agree that any and all disputes, claims, or causes of action, in law or equity, including but not limited to statutory claims, arising from or relating to the enforcement, breach, performance, or interpretation of this letter agreement, your employment with the Company, or the</w:t>
      </w:r>
    </w:p>
    <w:p>
      <w:pPr>
        <w:sectPr>
          <w:pgSz w:w="11900" w:h="16838" w:orient="portrait"/>
          <w:cols w:equalWidth="0" w:num="1">
            <w:col w:w="10800"/>
          </w:cols>
          <w:pgMar w:left="660" w:top="1440" w:right="439" w:bottom="1440" w:gutter="0" w:footer="0" w:header="0"/>
        </w:sectPr>
      </w:pPr>
    </w:p>
    <w:bookmarkStart w:id="95" w:name="page96"/>
    <w:bookmarkEnd w:id="9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37310" cy="436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36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termination of your employment, shall be resolved to the fullest extent permitted by law, by final,</w:t>
      </w:r>
    </w:p>
    <w:p>
      <w:pPr>
        <w:spacing w:after="0" w:line="16" w:lineRule="exact"/>
        <w:rPr>
          <w:sz w:val="20"/>
          <w:szCs w:val="20"/>
          <w:color w:val="auto"/>
        </w:rPr>
      </w:pPr>
    </w:p>
    <w:p>
      <w:pPr>
        <w:ind w:firstLine="1"/>
        <w:spacing w:after="0" w:line="250" w:lineRule="auto"/>
        <w:rPr>
          <w:sz w:val="20"/>
          <w:szCs w:val="20"/>
          <w:color w:val="auto"/>
        </w:rPr>
      </w:pPr>
      <w:r>
        <w:rPr>
          <w:rFonts w:ascii="Times New Roman" w:cs="Times New Roman" w:eastAsia="Times New Roman" w:hAnsi="Times New Roman"/>
          <w:sz w:val="18"/>
          <w:szCs w:val="18"/>
          <w:color w:val="auto"/>
        </w:rPr>
        <w:t>binding and confidential arbitration conducted by JAMS, Inc. (“JAMS”) or its successor, under JAMS’ then applicable rules and procedures appropriate to the relief being sought (available upon request and also currently available at the following web address: (i) https://www.jamsadr.com/rules-employment-arbitration/ and (ii) https://www.jamsadr.com/rules-comprehensive-arbitration/) at a location closest to where you last worked for the Company or another mutually agreeable location. Any demand for arbitration must be made within the statute of limitations applicable to the claim asserted as if such claim were asserted in court. Failure to demand arbitration (or, where applicable, file a counterclaim, crossclaim, or third-party claim) within such time limitation shall serve as a waiver and release with respect to all such claims. You acknowledge that by agreeing to this arbitration procedure, both you and the Company waive the right to resolve any such dispute through a trial by jury or judge. The 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“Excluded Claims”),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You acknowledge and agree that proceedings of any non-individual claim(s) under the California Private Attorneys General Act (“PAGA”) that may be brought in court shall be stayed for the duration and pending a final resolution of the arbitration of any individual or individual PAGA claim.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you or the Company, must be brought in an individual capacity, and shall not be brought as a plaintiff (or claimant) or class member in any purported class, representative, or collective proceeding, nor joined or consolidated with the claims of any other person or entity. You acknowledge that by agreeing to this arbitration procedure, both you and the Company waive all rights to have any dispute be brought, heard, administered, resolved, or arbitrated on a class, representative, or collective action basis. The arbitrator may not consolidate the claims of more than one person or entity and may not preside over any form of representative or</w:t>
      </w:r>
    </w:p>
    <w:p>
      <w:pPr>
        <w:spacing w:after="0" w:line="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class proceeding. If a court finds, by means of a final decision, not subject to any further appeal or recourse, that the preceding sentences regarding class, representative, or collective claims or proceedings violate applicable law or are otherwise unenforceable, as to a particular claim or request for relief, the parties agree that any such claim(s) or request(s) for relief be severed from the arbitration and may proceed in a court of law rather than by arbitration. All other claims or requests for relief shall be arbitrated. You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you or the Company would otherwise be entitled to seek in a court of law;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JAMS arbitration administrative fees in excess of the administrative fees that you would be required to pay if the dispute were decided in a court of law. Each party is responsible for its own attorneys’ fees, except as may be expressly set forth in your CIIAA or as otherwise provided under applicable law.</w:t>
      </w: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Nothing in this letter agreement is intended to prevent either you or the Company from seeking or obtaining injunctive relief, or provisional remedies as permitted under applicable law, in court to prevent irreparable harm pending the conclusion of any such arbitration. The pursuit of injunctive relief shall not be deemed incompatible with or constitute a waiver of rights under this Agreement. Any awards or orders in such arbitrations may be entered and enforced as judgments in the federal and state courts of any competent jurisdiction.</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required by law, this offer is subject to satisfactory proof of your right to work in the United States. You agree to assist as needed and to complete any documentation at the Company’s request to meet these conditions.</w:t>
      </w:r>
    </w:p>
    <w:p>
      <w:pPr>
        <w:sectPr>
          <w:pgSz w:w="11900" w:h="16838" w:orient="portrait"/>
          <w:cols w:equalWidth="0" w:num="1">
            <w:col w:w="10900"/>
          </w:cols>
          <w:pgMar w:left="660" w:top="1440" w:right="339" w:bottom="1440" w:gutter="0" w:footer="0" w:header="0"/>
        </w:sectPr>
      </w:pPr>
    </w:p>
    <w:bookmarkStart w:id="96" w:name="page97"/>
    <w:bookmarkEnd w:id="96"/>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37310" cy="436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36880"/>
                    </a:xfrm>
                    <a:prstGeom prst="rect">
                      <a:avLst/>
                    </a:prstGeom>
                    <a:noFill/>
                  </pic:spPr>
                </pic:pic>
              </a:graphicData>
            </a:graphic>
          </wp:anchor>
        </w:drawing>
      </w:r>
    </w:p>
    <w:p>
      <w:pPr>
        <w:spacing w:after="0" w:line="253" w:lineRule="auto"/>
        <w:rPr>
          <w:sz w:val="20"/>
          <w:szCs w:val="20"/>
          <w:color w:val="auto"/>
        </w:rPr>
      </w:pPr>
      <w:r>
        <w:rPr>
          <w:rFonts w:ascii="Times New Roman" w:cs="Times New Roman" w:eastAsia="Times New Roman" w:hAnsi="Times New Roman"/>
          <w:sz w:val="18"/>
          <w:szCs w:val="18"/>
          <w:color w:val="auto"/>
        </w:rPr>
        <w:t>This letter, together with your Employee Confidential Information and Inventions Assignment Agreement, forms the complete and exclusive statement of your employment agreement with the Company. It supersedes any other agreements or promises made to you by anyone, whether oral or written. You acknowledge and agree that you are not relying on any representations other than the terms set forth in this letter. Changes in your employment terms, other than those changes expressly reserved to the Company’s discretion in this letter, require a written modification signed by a duly authorized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2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If you accept employment under the terms and conditions set forth in this letter, please sign, date, and return this offer. We look forward to a productive and enjoyable working relationship.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Wenbin Jiang,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Wenbin Jiang,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Cytek Biosciences, Inc.</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Accepted: Date:</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 Philippe Busque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8/18/2026</w:t>
            </w:r>
          </w:p>
        </w:tc>
      </w:tr>
      <w:tr>
        <w:trPr>
          <w:trHeight w:val="237"/>
        </w:trPr>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Philippe Busque</w:t>
            </w:r>
          </w:p>
        </w:tc>
        <w:tc>
          <w:tcPr>
            <w:tcW w:w="58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bl>
    <w:p>
      <w:pPr>
        <w:sectPr>
          <w:pgSz w:w="11900" w:h="16838" w:orient="portrait"/>
          <w:cols w:equalWidth="0" w:num="1">
            <w:col w:w="10880"/>
          </w:cols>
          <w:pgMar w:left="660" w:top="1440" w:right="359" w:bottom="1440" w:gutter="0" w:footer="0" w:header="0"/>
        </w:sectPr>
      </w:pPr>
    </w:p>
    <w:bookmarkStart w:id="97" w:name="page98"/>
    <w:bookmarkEnd w:id="97"/>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1825625" cy="796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825625" cy="796925"/>
                    </a:xfrm>
                    <a:prstGeom prst="rect">
                      <a:avLst/>
                    </a:prstGeom>
                    <a:noFill/>
                  </pic:spPr>
                </pic:pic>
              </a:graphicData>
            </a:graphic>
          </wp:anchor>
        </w:drawing>
      </w:r>
    </w:p>
    <w:p>
      <w:pPr>
        <w:ind w:left="4205"/>
        <w:spacing w:after="0"/>
        <w:rPr>
          <w:sz w:val="20"/>
          <w:szCs w:val="20"/>
          <w:color w:val="auto"/>
        </w:rPr>
      </w:pPr>
      <w:r>
        <w:rPr>
          <w:rFonts w:ascii="Times New Roman" w:cs="Times New Roman" w:eastAsia="Times New Roman" w:hAnsi="Times New Roman"/>
          <w:sz w:val="20"/>
          <w:szCs w:val="20"/>
          <w:b w:val="1"/>
          <w:bCs w:val="1"/>
          <w:color w:val="auto"/>
        </w:rPr>
        <w:t>CYTEK BIOSCIENCES, INC.</w:t>
      </w:r>
    </w:p>
    <w:p>
      <w:pPr>
        <w:spacing w:after="0" w:line="12" w:lineRule="exact"/>
        <w:rPr>
          <w:sz w:val="20"/>
          <w:szCs w:val="20"/>
          <w:color w:val="auto"/>
        </w:rPr>
      </w:pPr>
    </w:p>
    <w:p>
      <w:pPr>
        <w:ind w:left="1685"/>
        <w:spacing w:after="0"/>
        <w:rPr>
          <w:sz w:val="20"/>
          <w:szCs w:val="20"/>
          <w:color w:val="auto"/>
        </w:rPr>
      </w:pPr>
      <w:r>
        <w:rPr>
          <w:rFonts w:ascii="Times New Roman" w:cs="Times New Roman" w:eastAsia="Times New Roman" w:hAnsi="Times New Roman"/>
          <w:sz w:val="20"/>
          <w:szCs w:val="20"/>
          <w:b w:val="1"/>
          <w:bCs w:val="1"/>
          <w:color w:val="auto"/>
        </w:rPr>
        <w:t>SECOND AMENDED AND RESTATED SEVERANCE BENEFIT PLAN</w:t>
      </w:r>
    </w:p>
    <w:p>
      <w:pPr>
        <w:spacing w:after="0" w:line="6"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3"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20"/>
          <w:szCs w:val="20"/>
          <w:b w:val="1"/>
          <w:bCs w:val="1"/>
          <w:color w:val="auto"/>
        </w:rPr>
        <w:t>SUMMARY PLAN DESCRIPTION</w:t>
      </w:r>
    </w:p>
    <w:p>
      <w:pPr>
        <w:spacing w:after="0" w:line="223"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20"/>
          <w:szCs w:val="20"/>
          <w:b w:val="1"/>
          <w:bCs w:val="1"/>
          <w:color w:val="auto"/>
        </w:rPr>
        <w:t>(Adopted January 1, 2020; as amended and restated on July 15, 2021; February 20, 2024 and September 23, 2026)</w:t>
      </w:r>
    </w:p>
    <w:p>
      <w:pPr>
        <w:spacing w:after="0" w:line="274" w:lineRule="exact"/>
        <w:rPr>
          <w:sz w:val="20"/>
          <w:szCs w:val="20"/>
          <w:color w:val="auto"/>
        </w:rPr>
      </w:pPr>
    </w:p>
    <w:p>
      <w:pPr>
        <w:jc w:val="both"/>
        <w:ind w:left="5" w:right="60" w:firstLine="640"/>
        <w:spacing w:after="0" w:line="251" w:lineRule="auto"/>
        <w:tabs>
          <w:tab w:leader="none" w:pos="119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Introduction</w:t>
      </w:r>
      <w:r>
        <w:rPr>
          <w:rFonts w:ascii="Times New Roman" w:cs="Times New Roman" w:eastAsia="Times New Roman" w:hAnsi="Times New Roman"/>
          <w:sz w:val="20"/>
          <w:szCs w:val="20"/>
          <w:color w:val="auto"/>
        </w:rPr>
        <w:t>. The purpose of this Cytek Biosciences, Inc. Second Amended and Restated Severance Benefit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to provide assurances of specified severance benefits to eligible executives of the Company whose employment is terminated by the Company or a successor under certain circumstances. This Plan is an “employee welfare benefit plan,” as defined in Section 3(1) of ERISA (as defined below). This Plan shall supersede any individual agreement between the Company and any Covered Employee (as defined below) and any other plan, policy or practice, whether written or unwritten, maintained by the Company with respect to a Covered Employee, in each case to the extent that such agreement, plan, policy or practice provides for severance benefits upon the Covered Employee’s separation from the Company. This document constitutes both the written instrument under which the Plan is maintained and the required summary plan description for the Plan.</w:t>
      </w:r>
    </w:p>
    <w:p>
      <w:pPr>
        <w:spacing w:after="0" w:line="222" w:lineRule="exact"/>
        <w:rPr>
          <w:rFonts w:ascii="Times New Roman" w:cs="Times New Roman" w:eastAsia="Times New Roman" w:hAnsi="Times New Roman"/>
          <w:sz w:val="20"/>
          <w:szCs w:val="20"/>
          <w:color w:val="auto"/>
        </w:rPr>
      </w:pPr>
    </w:p>
    <w:p>
      <w:pPr>
        <w:ind w:left="1305" w:hanging="656"/>
        <w:spacing w:after="0"/>
        <w:tabs>
          <w:tab w:leader="none" w:pos="130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the Plan, the terms below are defined as follows:</w:t>
      </w:r>
    </w:p>
    <w:p>
      <w:pPr>
        <w:spacing w:after="0" w:line="337" w:lineRule="exact"/>
        <w:rPr>
          <w:sz w:val="20"/>
          <w:szCs w:val="20"/>
          <w:color w:val="auto"/>
        </w:rPr>
      </w:pPr>
    </w:p>
    <w:p>
      <w:pPr>
        <w:jc w:val="both"/>
        <w:ind w:left="5" w:right="100" w:firstLine="1296"/>
        <w:spacing w:after="0" w:line="261"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means the Board or Compensation Committee prior to a Change in Control; or, after a Change in Control, one or more members of the successor Board or Compensation Committee or other persons designated by the Board or Compensation Committee prior to such Change in Control.</w:t>
      </w:r>
    </w:p>
    <w:p>
      <w:pPr>
        <w:spacing w:after="0" w:line="208" w:lineRule="exact"/>
        <w:rPr>
          <w:sz w:val="20"/>
          <w:szCs w:val="20"/>
          <w:color w:val="auto"/>
        </w:rPr>
      </w:pPr>
    </w:p>
    <w:p>
      <w:pPr>
        <w:ind w:left="1285"/>
        <w:spacing w:after="0"/>
        <w:tabs>
          <w:tab w:leader="none" w:pos="1925"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Directors of the Company.</w:t>
      </w:r>
    </w:p>
    <w:p>
      <w:pPr>
        <w:spacing w:after="0" w:line="337" w:lineRule="exact"/>
        <w:rPr>
          <w:sz w:val="20"/>
          <w:szCs w:val="20"/>
          <w:color w:val="auto"/>
        </w:rPr>
      </w:pPr>
    </w:p>
    <w:p>
      <w:pPr>
        <w:ind w:left="1305"/>
        <w:spacing w:after="0"/>
        <w:tabs>
          <w:tab w:leader="none" w:pos="1825" w:val="left"/>
        </w:tabs>
        <w:rPr>
          <w:sz w:val="20"/>
          <w:szCs w:val="20"/>
          <w:color w:val="auto"/>
        </w:rPr>
      </w:pPr>
      <w:r>
        <w:rPr>
          <w:rFonts w:ascii="Times New Roman" w:cs="Times New Roman" w:eastAsia="Times New Roman" w:hAnsi="Times New Roman"/>
          <w:sz w:val="20"/>
          <w:szCs w:val="20"/>
          <w:color w:val="auto"/>
        </w:rPr>
        <w:t>2.3.</w:t>
        <w:tab/>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the termination of a Covered Employee’s employment with the Company or its subsidiaries due to</w:t>
      </w:r>
    </w:p>
    <w:p>
      <w:pPr>
        <w:spacing w:after="0" w:line="22" w:lineRule="exact"/>
        <w:rPr>
          <w:sz w:val="20"/>
          <w:szCs w:val="20"/>
          <w:color w:val="auto"/>
        </w:rPr>
      </w:pPr>
    </w:p>
    <w:p>
      <w:pPr>
        <w:jc w:val="both"/>
        <w:ind w:left="5" w:right="60" w:hanging="5"/>
        <w:spacing w:after="0" w:line="249" w:lineRule="auto"/>
        <w:tabs>
          <w:tab w:leader="none" w:pos="24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 of any felony or any crime involving fraud, dishonesty or moral turpitude under the laws of the United States or any state thereof (or local laws for international Covered Employees, as applicable); (ii) attempted commission of, or participation in, a fraud or act of dishonesty against the Company; (iii) intentional, material violation of any contract or agreement between the Covered Employee and the Company or of any statutory duty owed to the Company; (iv) unauthorized use or disclosure of the Company’s confidential information or trade secrets; or (v) gross misconduct. The determination that a termination of the Covered Employee’s employment is either for Cause or without Cause will be made by the Company, in its sole discretion.</w:t>
      </w:r>
    </w:p>
    <w:p>
      <w:pPr>
        <w:spacing w:after="0" w:line="220" w:lineRule="exact"/>
        <w:rPr>
          <w:sz w:val="20"/>
          <w:szCs w:val="20"/>
          <w:color w:val="auto"/>
        </w:rPr>
      </w:pPr>
    </w:p>
    <w:p>
      <w:pPr>
        <w:jc w:val="both"/>
        <w:ind w:left="5" w:firstLine="1296"/>
        <w:spacing w:after="0" w:line="268"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be as defined in the Company’s 2021 Equity Incentive Plan (as amended or amended and restated from time to time, the “</w:t>
      </w:r>
      <w:r>
        <w:rPr>
          <w:rFonts w:ascii="Times New Roman" w:cs="Times New Roman" w:eastAsia="Times New Roman" w:hAnsi="Times New Roman"/>
          <w:sz w:val="20"/>
          <w:szCs w:val="20"/>
          <w:u w:val="single" w:color="auto"/>
          <w:color w:val="auto"/>
        </w:rPr>
        <w:t>2021 Plan</w:t>
      </w:r>
      <w:r>
        <w:rPr>
          <w:rFonts w:ascii="Times New Roman" w:cs="Times New Roman" w:eastAsia="Times New Roman" w:hAnsi="Times New Roman"/>
          <w:sz w:val="20"/>
          <w:szCs w:val="20"/>
          <w:color w:val="auto"/>
        </w:rPr>
        <w:t>”), other than with respect to changes to the Incumbent Board (as defined in the 2021 Plan), which shall not apply.</w:t>
      </w:r>
    </w:p>
    <w:p>
      <w:pPr>
        <w:spacing w:after="0" w:line="188" w:lineRule="exact"/>
        <w:rPr>
          <w:sz w:val="20"/>
          <w:szCs w:val="20"/>
          <w:color w:val="auto"/>
        </w:rPr>
      </w:pPr>
    </w:p>
    <w:p>
      <w:pPr>
        <w:jc w:val="both"/>
        <w:ind w:left="5" w:firstLine="1296"/>
        <w:spacing w:after="0" w:line="283"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u w:val="single" w:color="auto"/>
          <w:color w:val="auto"/>
        </w:rPr>
        <w:t>Change in Control Period</w:t>
      </w:r>
      <w:r>
        <w:rPr>
          <w:rFonts w:ascii="Times New Roman" w:cs="Times New Roman" w:eastAsia="Times New Roman" w:hAnsi="Times New Roman"/>
          <w:sz w:val="20"/>
          <w:szCs w:val="20"/>
          <w:color w:val="auto"/>
        </w:rPr>
        <w:t>” means the time period beginning on the date that is three (3) months prior to when a Change in Control becomes effective and ending on the first anniversary of the effective date of such Change in Control.</w:t>
      </w:r>
    </w:p>
    <w:p>
      <w:pPr>
        <w:spacing w:after="0" w:line="187" w:lineRule="exact"/>
        <w:rPr>
          <w:sz w:val="20"/>
          <w:szCs w:val="20"/>
          <w:color w:val="auto"/>
        </w:rPr>
      </w:pPr>
    </w:p>
    <w:p>
      <w:pPr>
        <w:ind w:left="1305"/>
        <w:spacing w:after="0"/>
        <w:tabs>
          <w:tab w:leader="none" w:pos="1825"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means the Consolidated Omnibus Budget Reconciliation Act of 1985, as amended.</w:t>
      </w:r>
    </w:p>
    <w:p>
      <w:pPr>
        <w:spacing w:after="0" w:line="243" w:lineRule="exact"/>
        <w:rPr>
          <w:sz w:val="20"/>
          <w:szCs w:val="20"/>
          <w:color w:val="auto"/>
        </w:rPr>
      </w:pPr>
    </w:p>
    <w:p>
      <w:pPr>
        <w:ind w:left="1305"/>
        <w:spacing w:after="0"/>
        <w:tabs>
          <w:tab w:leader="none" w:pos="1825"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means Cytek Biosciences, Inc. and any successor.</w:t>
      </w:r>
    </w:p>
    <w:p>
      <w:pPr>
        <w:sectPr>
          <w:pgSz w:w="11900" w:h="16838" w:orient="portrait"/>
          <w:cols w:equalWidth="0" w:num="1">
            <w:col w:w="11065"/>
          </w:cols>
          <w:pgMar w:left="435" w:top="1440" w:right="399" w:bottom="1440" w:gutter="0" w:footer="0" w:header="0"/>
        </w:sectPr>
      </w:pPr>
    </w:p>
    <w:bookmarkStart w:id="98" w:name="page99"/>
    <w:bookmarkEnd w:id="98"/>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22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u w:val="single" w:color="auto"/>
          <w:color w:val="auto"/>
        </w:rPr>
        <w:t>Covered Employee</w:t>
      </w:r>
      <w:r>
        <w:rPr>
          <w:rFonts w:ascii="Times New Roman" w:cs="Times New Roman" w:eastAsia="Times New Roman" w:hAnsi="Times New Roman"/>
          <w:sz w:val="20"/>
          <w:szCs w:val="20"/>
          <w:color w:val="auto"/>
        </w:rPr>
        <w:t>” means an employee of the Company (i) with a title of Vice President or above, or (ii) if not covered by (i), has been designated by the Board to participate in the Plan, provided that in each case, such employee has timely and properly executed and delivered a Participation Agreement to the Company.</w:t>
      </w:r>
    </w:p>
    <w:p>
      <w:pPr>
        <w:spacing w:after="0" w:line="176"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u w:val="single" w:color="auto"/>
          <w:color w:val="auto"/>
        </w:rPr>
        <w:t>Covered Termination</w:t>
      </w:r>
      <w:r>
        <w:rPr>
          <w:rFonts w:ascii="Times New Roman" w:cs="Times New Roman" w:eastAsia="Times New Roman" w:hAnsi="Times New Roman"/>
          <w:sz w:val="20"/>
          <w:szCs w:val="20"/>
          <w:color w:val="auto"/>
        </w:rPr>
        <w:t>” means a Covered Employee’s termination of the employment either (i) at any time, by the Company (or any parent or subsidiary of the Company) without Cause or (ii) during the Change in Control Period, by such Covered Employee for Good Reason.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2.11.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February 20, 2024.</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2.12.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1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2.13. “</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means the Covered Employee’s resignation from all positions the Covered Employee then holds with the Company (and all parents and subsidiaries of the Company) within 30 days following expiration of the cure period for the following</w:t>
      </w:r>
    </w:p>
    <w:p>
      <w:pPr>
        <w:spacing w:after="0" w:line="211" w:lineRule="auto"/>
        <w:rPr>
          <w:sz w:val="20"/>
          <w:szCs w:val="20"/>
          <w:color w:val="auto"/>
        </w:rPr>
      </w:pPr>
      <w:r>
        <w:rPr>
          <w:rFonts w:ascii="Times New Roman" w:cs="Times New Roman" w:eastAsia="Times New Roman" w:hAnsi="Times New Roman"/>
          <w:sz w:val="20"/>
          <w:szCs w:val="20"/>
          <w:color w:val="auto"/>
        </w:rPr>
        <w:t>events taken without the Covered Employee’s express written consent, provided that the Covered Employee has given the Board written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notice of such event within 90 days after the first occurrence of such event setting forth the basis for the Covered Employee’s resignation and the Company has not reasonably cured such event within 30 days after the Board’s receipt of such written notice:</w:t>
      </w:r>
    </w:p>
    <w:p>
      <w:pPr>
        <w:spacing w:after="0" w:line="202" w:lineRule="exact"/>
        <w:rPr>
          <w:sz w:val="20"/>
          <w:szCs w:val="20"/>
          <w:color w:val="auto"/>
        </w:rPr>
      </w:pPr>
    </w:p>
    <w:p>
      <w:pPr>
        <w:jc w:val="both"/>
        <w:ind w:right="120" w:firstLine="1939"/>
        <w:spacing w:after="0" w:line="268" w:lineRule="auto"/>
        <w:tabs>
          <w:tab w:leader="none" w:pos="248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in the Covered Employee’s duties or responsibilities, provided that neither (A) a change in title nor (B) a change in the Covered Employee’s reporting relationships, in either case, by virtue of the Company being acquired or made part of a larger entity will be deemed a “material reduction” in and of itself;</w:t>
      </w:r>
    </w:p>
    <w:p>
      <w:pPr>
        <w:spacing w:after="0" w:line="161" w:lineRule="exact"/>
        <w:rPr>
          <w:rFonts w:ascii="Times New Roman" w:cs="Times New Roman" w:eastAsia="Times New Roman" w:hAnsi="Times New Roman"/>
          <w:sz w:val="20"/>
          <w:szCs w:val="20"/>
          <w:color w:val="auto"/>
        </w:rPr>
      </w:pPr>
    </w:p>
    <w:p>
      <w:pPr>
        <w:ind w:right="100" w:firstLine="1935"/>
        <w:spacing w:after="0" w:line="283" w:lineRule="auto"/>
        <w:tabs>
          <w:tab w:leader="none" w:pos="248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in the Covered Employee’s base salary, unless such reduction is made in connection with a similar action affecting all senior executives of the Company; or</w:t>
      </w:r>
    </w:p>
    <w:p>
      <w:pPr>
        <w:spacing w:after="0" w:line="146" w:lineRule="exact"/>
        <w:rPr>
          <w:rFonts w:ascii="Times New Roman" w:cs="Times New Roman" w:eastAsia="Times New Roman" w:hAnsi="Times New Roman"/>
          <w:sz w:val="20"/>
          <w:szCs w:val="20"/>
          <w:color w:val="auto"/>
        </w:rPr>
      </w:pPr>
    </w:p>
    <w:p>
      <w:pPr>
        <w:jc w:val="both"/>
        <w:ind w:right="120" w:firstLine="1935"/>
        <w:spacing w:after="0" w:line="268" w:lineRule="auto"/>
        <w:tabs>
          <w:tab w:leader="none" w:pos="24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relocation of the Covered Employee’s principal place of employment to a place that increases the Covered Employee’s one-way commute by more than 50 miles as compared to the Covered Employee’s then-current principal place of employment immediately prior to such relocation.</w:t>
      </w:r>
    </w:p>
    <w:p>
      <w:pPr>
        <w:spacing w:after="0" w:line="175"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2.14. “</w:t>
      </w:r>
      <w:r>
        <w:rPr>
          <w:rFonts w:ascii="Times New Roman" w:cs="Times New Roman" w:eastAsia="Times New Roman" w:hAnsi="Times New Roman"/>
          <w:sz w:val="20"/>
          <w:szCs w:val="20"/>
          <w:u w:val="single" w:color="auto"/>
          <w:color w:val="auto"/>
        </w:rPr>
        <w:t>Participation Agreement</w:t>
      </w:r>
      <w:r>
        <w:rPr>
          <w:rFonts w:ascii="Times New Roman" w:cs="Times New Roman" w:eastAsia="Times New Roman" w:hAnsi="Times New Roman"/>
          <w:sz w:val="20"/>
          <w:szCs w:val="20"/>
          <w:color w:val="auto"/>
        </w:rPr>
        <w:t xml:space="preserve">” means the individual agreement (as will be provided in separate cover as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provided by the Administrator to a Covered Employee under the Plan, which has been signed and accepted by the Covered Employee.</w:t>
      </w:r>
    </w:p>
    <w:p>
      <w:pPr>
        <w:spacing w:after="0" w:line="175"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2.15.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means the compensation and other benefits the Covered Employee will be provided pursuant to either Section 4 or 5, as applicable.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2.16.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Covered Employee’s last day of employment with</w:t>
      </w:r>
    </w:p>
    <w:p>
      <w:pPr>
        <w:spacing w:after="0" w:line="233" w:lineRule="auto"/>
        <w:rPr>
          <w:sz w:val="20"/>
          <w:szCs w:val="20"/>
          <w:color w:val="auto"/>
        </w:rPr>
      </w:pPr>
      <w:r>
        <w:rPr>
          <w:rFonts w:ascii="Times New Roman" w:cs="Times New Roman" w:eastAsia="Times New Roman" w:hAnsi="Times New Roman"/>
          <w:sz w:val="20"/>
          <w:szCs w:val="20"/>
          <w:color w:val="auto"/>
        </w:rPr>
        <w:t>the Company.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u w:val="single" w:color="auto"/>
          <w:color w:val="auto"/>
        </w:rPr>
        <w:t>Tier 1 Covered Employee</w:t>
      </w:r>
      <w:r>
        <w:rPr>
          <w:rFonts w:ascii="Times New Roman" w:cs="Times New Roman" w:eastAsia="Times New Roman" w:hAnsi="Times New Roman"/>
          <w:sz w:val="20"/>
          <w:szCs w:val="20"/>
          <w:color w:val="auto"/>
        </w:rPr>
        <w:t>” means the Chief Executive Officer of the Company.</w:t>
      </w:r>
    </w:p>
    <w:p>
      <w:pPr>
        <w:spacing w:after="0" w:line="194"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2.18. “</w:t>
      </w:r>
      <w:r>
        <w:rPr>
          <w:rFonts w:ascii="Times New Roman" w:cs="Times New Roman" w:eastAsia="Times New Roman" w:hAnsi="Times New Roman"/>
          <w:sz w:val="20"/>
          <w:szCs w:val="20"/>
          <w:u w:val="single" w:color="auto"/>
          <w:color w:val="auto"/>
        </w:rPr>
        <w:t>Tier 2 Covered Employee</w:t>
      </w:r>
      <w:r>
        <w:rPr>
          <w:rFonts w:ascii="Times New Roman" w:cs="Times New Roman" w:eastAsia="Times New Roman" w:hAnsi="Times New Roman"/>
          <w:sz w:val="20"/>
          <w:szCs w:val="20"/>
          <w:color w:val="auto"/>
        </w:rPr>
        <w:t>” means a C-level Covered Employee, including the Company’s Chief Operating Officer, Chief Financial Officer, Chief Legal Office and Chief People Officer.</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2.19. “</w:t>
      </w:r>
      <w:r>
        <w:rPr>
          <w:rFonts w:ascii="Times New Roman" w:cs="Times New Roman" w:eastAsia="Times New Roman" w:hAnsi="Times New Roman"/>
          <w:sz w:val="20"/>
          <w:szCs w:val="20"/>
          <w:u w:val="single" w:color="auto"/>
          <w:color w:val="auto"/>
        </w:rPr>
        <w:t>Tier 3 Covered Employee</w:t>
      </w:r>
      <w:r>
        <w:rPr>
          <w:rFonts w:ascii="Times New Roman" w:cs="Times New Roman" w:eastAsia="Times New Roman" w:hAnsi="Times New Roman"/>
          <w:sz w:val="20"/>
          <w:szCs w:val="20"/>
          <w:color w:val="auto"/>
        </w:rPr>
        <w:t>” means a Senior Vice President-level Covered Employee.</w:t>
      </w:r>
    </w:p>
    <w:p>
      <w:pPr>
        <w:spacing w:after="0" w:line="216"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u w:val="single" w:color="auto"/>
          <w:color w:val="auto"/>
        </w:rPr>
        <w:t>Tier 4 Covered Employee</w:t>
      </w:r>
      <w:r>
        <w:rPr>
          <w:rFonts w:ascii="Times New Roman" w:cs="Times New Roman" w:eastAsia="Times New Roman" w:hAnsi="Times New Roman"/>
          <w:sz w:val="20"/>
          <w:szCs w:val="20"/>
          <w:color w:val="auto"/>
        </w:rPr>
        <w:t>” means a Vice President-level Covered Employee who commenced employment with the Company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20"/>
          </w:cols>
          <w:pgMar w:left="440" w:top="1440" w:right="339" w:bottom="1440" w:gutter="0" w:footer="0" w:header="0"/>
        </w:sectPr>
      </w:pPr>
    </w:p>
    <w:bookmarkStart w:id="99" w:name="page100"/>
    <w:bookmarkEnd w:id="99"/>
    <w:p>
      <w:pPr>
        <w:ind w:firstLine="1296"/>
        <w:spacing w:after="0" w:line="233" w:lineRule="auto"/>
        <w:rPr>
          <w:sz w:val="20"/>
          <w:szCs w:val="20"/>
          <w:color w:val="auto"/>
        </w:rPr>
      </w:pPr>
      <w:r>
        <w:rPr>
          <w:rFonts w:ascii="Times New Roman" w:cs="Times New Roman" w:eastAsia="Times New Roman" w:hAnsi="Times New Roman"/>
          <w:sz w:val="20"/>
          <w:szCs w:val="20"/>
          <w:color w:val="auto"/>
        </w:rPr>
        <w:t>2.21. “</w:t>
      </w:r>
      <w:r>
        <w:rPr>
          <w:rFonts w:ascii="Times New Roman" w:cs="Times New Roman" w:eastAsia="Times New Roman" w:hAnsi="Times New Roman"/>
          <w:sz w:val="20"/>
          <w:szCs w:val="20"/>
          <w:u w:val="single" w:color="auto"/>
          <w:color w:val="auto"/>
        </w:rPr>
        <w:t>Tier 5 Covered Employee</w:t>
      </w:r>
      <w:r>
        <w:rPr>
          <w:rFonts w:ascii="Times New Roman" w:cs="Times New Roman" w:eastAsia="Times New Roman" w:hAnsi="Times New Roman"/>
          <w:sz w:val="20"/>
          <w:szCs w:val="20"/>
          <w:color w:val="auto"/>
        </w:rPr>
        <w:t>” means a Vice President-level Covered Employee who commences employment with the Company on or after the Effective Date.</w:t>
      </w:r>
    </w:p>
    <w:p>
      <w:pPr>
        <w:spacing w:after="0" w:line="174" w:lineRule="exact"/>
        <w:rPr>
          <w:sz w:val="20"/>
          <w:szCs w:val="20"/>
          <w:color w:val="auto"/>
        </w:rPr>
      </w:pPr>
    </w:p>
    <w:p>
      <w:pPr>
        <w:jc w:val="both"/>
        <w:ind w:firstLine="639"/>
        <w:spacing w:after="0" w:line="258" w:lineRule="auto"/>
        <w:tabs>
          <w:tab w:leader="none" w:pos="118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 for Severance Benefits</w:t>
      </w:r>
      <w:r>
        <w:rPr>
          <w:rFonts w:ascii="Times New Roman" w:cs="Times New Roman" w:eastAsia="Times New Roman" w:hAnsi="Times New Roman"/>
          <w:sz w:val="20"/>
          <w:szCs w:val="20"/>
          <w:color w:val="auto"/>
        </w:rPr>
        <w:t>. An individual is eligible for Severance Benefits under the Plan, in the amounts set forth in Sections 4 and 5, only if such individual (a) is a Covered Employee and remains an employee of the Company or an affiliate of the Company on the date such individual experiences a Covered Termination, and (b) with respect to Severance Benefits under Section 5, was a Covered Employee as of the consummation of a Change in Control or during the three-month period prior to a Change in Control.</w:t>
      </w:r>
    </w:p>
    <w:p>
      <w:pPr>
        <w:spacing w:after="0" w:line="212" w:lineRule="exact"/>
        <w:rPr>
          <w:rFonts w:ascii="Times New Roman" w:cs="Times New Roman" w:eastAsia="Times New Roman" w:hAnsi="Times New Roman"/>
          <w:sz w:val="20"/>
          <w:szCs w:val="20"/>
          <w:color w:val="auto"/>
        </w:rPr>
      </w:pPr>
    </w:p>
    <w:p>
      <w:pPr>
        <w:ind w:left="1300" w:hanging="656"/>
        <w:spacing w:after="0"/>
        <w:tabs>
          <w:tab w:leader="none" w:pos="13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Covered Termination Outside of the Change in Control Period</w:t>
      </w:r>
      <w:r>
        <w:rPr>
          <w:rFonts w:ascii="Times New Roman" w:cs="Times New Roman" w:eastAsia="Times New Roman" w:hAnsi="Times New Roman"/>
          <w:sz w:val="20"/>
          <w:szCs w:val="20"/>
          <w:color w:val="auto"/>
        </w:rPr>
        <w:t>. If, at any time other than during the Change in Control Period, a Covered Employee experiences a Covered Termination, then, subject to such Covered Employee’s compliance with Section 6, such Covered Employee shall receive the following Severance Benefits from the Company:</w:t>
      </w:r>
    </w:p>
    <w:p>
      <w:pPr>
        <w:spacing w:after="0" w:line="17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Cash Severance Benefits</w:t>
      </w:r>
      <w:r>
        <w:rPr>
          <w:rFonts w:ascii="Times New Roman" w:cs="Times New Roman" w:eastAsia="Times New Roman" w:hAnsi="Times New Roman"/>
          <w:sz w:val="20"/>
          <w:szCs w:val="20"/>
          <w:color w:val="auto"/>
        </w:rPr>
        <w:t>. The Covered Employee shall receive cash severance in an amount equal to the</w:t>
      </w:r>
    </w:p>
    <w:p>
      <w:pPr>
        <w:ind w:left="1300"/>
        <w:spacing w:after="0"/>
        <w:rPr>
          <w:sz w:val="20"/>
          <w:szCs w:val="20"/>
          <w:color w:val="auto"/>
        </w:rPr>
      </w:pPr>
      <w:r>
        <w:rPr>
          <w:rFonts w:ascii="Times New Roman" w:cs="Times New Roman" w:eastAsia="Times New Roman" w:hAnsi="Times New Roman"/>
          <w:sz w:val="20"/>
          <w:szCs w:val="20"/>
          <w:color w:val="auto"/>
        </w:rPr>
        <w:t>Covered Employee’s base salary for the number of months set forth below:</w:t>
      </w:r>
    </w:p>
    <w:p>
      <w:pPr>
        <w:spacing w:after="0" w:line="20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Tier 1 Covered Employee: 12 months</w:t>
      </w:r>
    </w:p>
    <w:p>
      <w:pPr>
        <w:spacing w:after="0" w:line="10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Tier 2 Covered Employee: 9 months</w:t>
      </w:r>
    </w:p>
    <w:p>
      <w:pPr>
        <w:spacing w:after="0" w:line="12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Tier 3 Covered Employee: 6 months</w:t>
      </w:r>
    </w:p>
    <w:p>
      <w:pPr>
        <w:spacing w:after="0" w:line="10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Tier 4 Covered Employee: 6 months</w:t>
      </w:r>
    </w:p>
    <w:p>
      <w:pPr>
        <w:spacing w:after="0" w:line="12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Tier 5 Covered Employee: 6 months</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The cash amount shall be paid in a single lump sum payment on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Termination Date.</w:t>
      </w:r>
    </w:p>
    <w:p>
      <w:pPr>
        <w:spacing w:after="0" w:line="172" w:lineRule="exact"/>
        <w:rPr>
          <w:sz w:val="20"/>
          <w:szCs w:val="20"/>
          <w:color w:val="auto"/>
        </w:rPr>
      </w:pPr>
    </w:p>
    <w:p>
      <w:pPr>
        <w:jc w:val="both"/>
        <w:ind w:left="1260" w:firstLine="567"/>
        <w:spacing w:after="0" w:line="251"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COBRA Premiums</w:t>
      </w:r>
      <w:r>
        <w:rPr>
          <w:rFonts w:ascii="Times New Roman" w:cs="Times New Roman" w:eastAsia="Times New Roman" w:hAnsi="Times New Roman"/>
          <w:sz w:val="20"/>
          <w:szCs w:val="20"/>
          <w:color w:val="auto"/>
        </w:rPr>
        <w:t>. Provided the Covered Employee is eligible for and timely makes the necessary elections for continuation coverage pursuant to COBRA, the Company shall pay the applicable premiums (inclusive of premiums for the Covered Employee’s dependents) for such coverage following the date of the Covered Employee’s Covered Termination for up to the number of months set forth below (but in no event after such time as the Covered Employee is eligible for coverage under a health, dental or vision insurance plan of a subsequent employer or as the Covered Employee and the Covered Employee’s dependents are no longer eligible for COBRA coverage). The Covered Employee shall notify the Company promptly after the Covered Employee becomes covered by a health, dental, or vision insurance plan of a subsequent employer or if the Covered Employee’s dependents are no longer eligible for COBRA coverage.</w:t>
      </w:r>
    </w:p>
    <w:p>
      <w:pPr>
        <w:spacing w:after="0" w:line="22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Tier 1 Covered Employee: 12 months</w:t>
      </w:r>
    </w:p>
    <w:p>
      <w:pPr>
        <w:spacing w:after="0" w:line="12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Tier 2 Covered Employee: 9 months</w:t>
      </w:r>
    </w:p>
    <w:p>
      <w:pPr>
        <w:spacing w:after="0" w:line="10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Tier 3 Covered Employee: 6 months</w:t>
      </w:r>
    </w:p>
    <w:p>
      <w:pPr>
        <w:spacing w:after="0" w:line="12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Tier 4 Covered Employee: 6 months</w:t>
      </w:r>
    </w:p>
    <w:p>
      <w:pPr>
        <w:spacing w:after="0" w:line="10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Tier 5 Covered Employee: 6 months</w:t>
      </w:r>
    </w:p>
    <w:p>
      <w:pPr>
        <w:spacing w:after="0" w:line="270" w:lineRule="exact"/>
        <w:rPr>
          <w:sz w:val="20"/>
          <w:szCs w:val="20"/>
          <w:color w:val="auto"/>
        </w:rPr>
      </w:pPr>
    </w:p>
    <w:p>
      <w:pPr>
        <w:ind w:left="1280" w:hanging="639"/>
        <w:spacing w:after="0"/>
        <w:tabs>
          <w:tab w:leader="none" w:pos="12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 Severance Benefits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20"/>
          </w:cols>
          <w:pgMar w:left="440" w:top="1440" w:right="339" w:bottom="1440" w:gutter="0" w:footer="0" w:header="0"/>
        </w:sectPr>
      </w:pPr>
    </w:p>
    <w:bookmarkStart w:id="100" w:name="page101"/>
    <w:bookmarkEnd w:id="100"/>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Covered Termination During the Change in Control Period</w:t>
      </w:r>
      <w:r>
        <w:rPr>
          <w:rFonts w:ascii="Times New Roman" w:cs="Times New Roman" w:eastAsia="Times New Roman" w:hAnsi="Times New Roman"/>
          <w:sz w:val="20"/>
          <w:szCs w:val="20"/>
          <w:color w:val="auto"/>
        </w:rPr>
        <w:t>. If, at any time during the Change in Control Period, a Covered Employee experiences a Covered Termination, then, subject to the Covered Employee’s compliance with Section 6, the Covered Employee shall receive the following Severance Benefits from the Company:</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Cash Severance Benefits</w:t>
      </w:r>
      <w:r>
        <w:rPr>
          <w:rFonts w:ascii="Times New Roman" w:cs="Times New Roman" w:eastAsia="Times New Roman" w:hAnsi="Times New Roman"/>
          <w:sz w:val="20"/>
          <w:szCs w:val="20"/>
          <w:color w:val="auto"/>
        </w:rPr>
        <w:t>. The Covered Employee shall receive cash severance in an amount equal to:</w:t>
      </w:r>
    </w:p>
    <w:p>
      <w:pPr>
        <w:spacing w:after="0" w:line="270" w:lineRule="exact"/>
        <w:rPr>
          <w:sz w:val="20"/>
          <w:szCs w:val="20"/>
          <w:color w:val="auto"/>
        </w:rPr>
      </w:pPr>
    </w:p>
    <w:p>
      <w:pPr>
        <w:ind w:left="1220" w:firstLine="1946"/>
        <w:spacing w:after="0" w:line="269" w:lineRule="auto"/>
        <w:tabs>
          <w:tab w:leader="none" w:pos="389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Covered Employee’s base salary (as in effect immediately prior to any reduction giving rise to Good Reason) for the number of months set forth below:</w:t>
      </w:r>
    </w:p>
    <w:p>
      <w:pPr>
        <w:spacing w:after="0" w:line="20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Tier 1 Covered Employee: 24 months</w:t>
      </w:r>
    </w:p>
    <w:p>
      <w:pPr>
        <w:spacing w:after="0" w:line="1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Tier 2 Covered Employee: 18 months</w:t>
      </w:r>
    </w:p>
    <w:p>
      <w:pPr>
        <w:spacing w:after="0" w:line="10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Tier 3 Covered Employee: 12 months</w:t>
      </w:r>
    </w:p>
    <w:p>
      <w:pPr>
        <w:spacing w:after="0" w:line="1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Tier 4 Covered Employee: 12 months</w:t>
      </w:r>
    </w:p>
    <w:p>
      <w:pPr>
        <w:spacing w:after="0" w:line="10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Tier 5 Covered Employee: 9 months; and</w:t>
      </w:r>
    </w:p>
    <w:p>
      <w:pPr>
        <w:spacing w:after="0" w:line="324" w:lineRule="exact"/>
        <w:rPr>
          <w:sz w:val="20"/>
          <w:szCs w:val="20"/>
          <w:color w:val="auto"/>
        </w:rPr>
      </w:pPr>
    </w:p>
    <w:p>
      <w:pPr>
        <w:ind w:left="1140" w:right="2720" w:firstLine="919"/>
        <w:spacing w:after="0" w:line="283" w:lineRule="auto"/>
        <w:tabs>
          <w:tab w:leader="none" w:pos="259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such Covered Employee’s bonus target for the year in which such termination occurs.</w:t>
      </w:r>
    </w:p>
    <w:p>
      <w:pPr>
        <w:spacing w:after="0" w:line="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The cash amount shall be paid in a single lump sum payment on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Termination Date.</w:t>
      </w:r>
    </w:p>
    <w:p>
      <w:pPr>
        <w:spacing w:after="0" w:line="185" w:lineRule="exact"/>
        <w:rPr>
          <w:sz w:val="20"/>
          <w:szCs w:val="20"/>
          <w:color w:val="auto"/>
        </w:rPr>
      </w:pPr>
    </w:p>
    <w:p>
      <w:pPr>
        <w:jc w:val="both"/>
        <w:ind w:firstLine="2268"/>
        <w:spacing w:after="0" w:line="251"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COBRA Premiums</w:t>
      </w:r>
      <w:r>
        <w:rPr>
          <w:rFonts w:ascii="Times New Roman" w:cs="Times New Roman" w:eastAsia="Times New Roman" w:hAnsi="Times New Roman"/>
          <w:sz w:val="20"/>
          <w:szCs w:val="20"/>
          <w:color w:val="auto"/>
        </w:rPr>
        <w:t>. Provided the Covered Employee is eligible for and timely makes the necessary elections for continuation coverage pursuant to COBRA the Company shall pay the applicable premiums (inclusive of premiums for the Covered Employee’s dependents) for such coverage following the date of the Covered Employee’s Covered Termination for up to the number of months set forth below (but in no event after such time as the Covered Employee is eligible for coverage under a health, dental or vision insurance plan of a subsequent employer or as the Covered Employee and the Covered Employee’s dependents are no longer eligible for COBRA coverage). The Covered Employee shall notify the Company immediately if the Covered Employee becomes covered by a health, dental, or vision insurance plan of a subsequent employer or if the Covered Employee’s dependents are no longer eligible for COBRA coverage.</w:t>
      </w:r>
    </w:p>
    <w:p>
      <w:pPr>
        <w:spacing w:after="0" w:line="22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Tier 1 Covered Employee: 24 months</w:t>
      </w:r>
    </w:p>
    <w:p>
      <w:pPr>
        <w:spacing w:after="0" w:line="1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Tier 2 Covered Employee: 18 months</w:t>
      </w:r>
    </w:p>
    <w:p>
      <w:pPr>
        <w:spacing w:after="0" w:line="10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Tier 3 Covered Employee: 12 months</w:t>
      </w:r>
    </w:p>
    <w:p>
      <w:pPr>
        <w:spacing w:after="0" w:line="1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Tier 4 Covered Employee: 12 months</w:t>
      </w:r>
    </w:p>
    <w:p>
      <w:pPr>
        <w:spacing w:after="0" w:line="10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Tier 5 Covered Employee: 9 months</w:t>
      </w:r>
    </w:p>
    <w:p>
      <w:pPr>
        <w:spacing w:after="0" w:line="256" w:lineRule="exact"/>
        <w:rPr>
          <w:sz w:val="20"/>
          <w:szCs w:val="20"/>
          <w:color w:val="auto"/>
        </w:rPr>
      </w:pPr>
    </w:p>
    <w:p>
      <w:pPr>
        <w:jc w:val="both"/>
        <w:ind w:firstLine="2268"/>
        <w:spacing w:after="0" w:line="253"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Equity Vesting</w:t>
      </w:r>
      <w:r>
        <w:rPr>
          <w:rFonts w:ascii="Times New Roman" w:cs="Times New Roman" w:eastAsia="Times New Roman" w:hAnsi="Times New Roman"/>
          <w:sz w:val="20"/>
          <w:szCs w:val="20"/>
          <w:color w:val="auto"/>
        </w:rPr>
        <w:t>. Each of the Covered Employee’s then outstanding equity awards shall accelerate and become vested and exercisable as to 100% of the unvested shares subject to the equity award, except any award granted after the Effective Date that explicitly overrides this provision in writing. Subject to Section 6, the accelerated vesting described in this paragraph shall be effective as of the Termination Date. For purposes of this Section 5.1.3, any equity awards subject to performance-based vesting shall accelerate based on target performance. Notwithstanding anything here into the contrary, nothing in the Plan shall limit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ability to accelerate vesting and/or exercisability of outstanding equity awards pursuant to the terms of the applicable equity incentive plan of the Company.</w:t>
      </w:r>
    </w:p>
    <w:p>
      <w:pPr>
        <w:spacing w:after="0" w:line="200" w:lineRule="exact"/>
        <w:rPr>
          <w:sz w:val="20"/>
          <w:szCs w:val="20"/>
          <w:color w:val="auto"/>
        </w:rPr>
      </w:pPr>
    </w:p>
    <w:p>
      <w:pPr>
        <w:ind w:left="1400" w:hanging="639"/>
        <w:spacing w:after="0"/>
        <w:tabs>
          <w:tab w:leader="none" w:pos="14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Receipt of Severance</w:t>
      </w:r>
      <w:r>
        <w:rPr>
          <w:rFonts w:ascii="Times New Roman" w:cs="Times New Roman" w:eastAsia="Times New Roman" w:hAnsi="Times New Roman"/>
          <w:sz w:val="20"/>
          <w:szCs w:val="20"/>
          <w:color w:val="auto"/>
        </w:rPr>
        <w:t>.</w:t>
      </w:r>
    </w:p>
    <w:p>
      <w:pPr>
        <w:ind w:left="1420"/>
        <w:spacing w:after="0" w:line="233"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Release Agreement</w:t>
      </w:r>
      <w:r>
        <w:rPr>
          <w:rFonts w:ascii="Times New Roman" w:cs="Times New Roman" w:eastAsia="Times New Roman" w:hAnsi="Times New Roman"/>
          <w:sz w:val="20"/>
          <w:szCs w:val="20"/>
          <w:color w:val="auto"/>
        </w:rPr>
        <w:t>. As a condition to receiving the Severance Benefits, a Covered Employee must sign a waiver and</w:t>
      </w:r>
    </w:p>
    <w:p>
      <w:pPr>
        <w:spacing w:after="0" w:line="1" w:lineRule="exact"/>
        <w:rPr>
          <w:sz w:val="20"/>
          <w:szCs w:val="20"/>
          <w:color w:val="auto"/>
        </w:rPr>
      </w:pPr>
    </w:p>
    <w:p>
      <w:pPr>
        <w:ind w:left="120"/>
        <w:spacing w:after="0" w:line="204" w:lineRule="auto"/>
        <w:rPr>
          <w:sz w:val="20"/>
          <w:szCs w:val="20"/>
          <w:color w:val="auto"/>
        </w:rPr>
      </w:pPr>
      <w:r>
        <w:rPr>
          <w:rFonts w:ascii="Times New Roman" w:cs="Times New Roman" w:eastAsia="Times New Roman" w:hAnsi="Times New Roman"/>
          <w:sz w:val="20"/>
          <w:szCs w:val="20"/>
          <w:color w:val="auto"/>
        </w:rPr>
        <w:t>release of all claims in favor of the Company and its subsidiaries and affiliates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in such form as may be provided by the Company. The Release will include specific information regarding the amount of time the Covered Employee will have to consider the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terms of the Release and return the signed agreement to the Company.</w:t>
      </w:r>
    </w:p>
    <w:p>
      <w:pPr>
        <w:spacing w:after="0" w:line="194" w:lineRule="exact"/>
        <w:rPr>
          <w:sz w:val="20"/>
          <w:szCs w:val="20"/>
          <w:color w:val="auto"/>
        </w:rPr>
      </w:pPr>
    </w:p>
    <w:p>
      <w:pPr>
        <w:ind w:left="120" w:firstLine="1296"/>
        <w:spacing w:after="0" w:line="215"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Other Requirements</w:t>
      </w:r>
      <w:r>
        <w:rPr>
          <w:rFonts w:ascii="Times New Roman" w:cs="Times New Roman" w:eastAsia="Times New Roman" w:hAnsi="Times New Roman"/>
          <w:sz w:val="20"/>
          <w:szCs w:val="20"/>
          <w:color w:val="auto"/>
        </w:rPr>
        <w:t>. A Covered Employee’s receipt of Severance Benefits pursuant to Section 4 or 5 will be subject to such Covered Employee continued material compliance with the terms of the Release, the Participation Agreement, any confidential</w:t>
      </w:r>
    </w:p>
    <w:p>
      <w:pPr>
        <w:ind w:left="120"/>
        <w:spacing w:after="0" w:line="224" w:lineRule="auto"/>
        <w:rPr>
          <w:sz w:val="20"/>
          <w:szCs w:val="20"/>
          <w:color w:val="auto"/>
        </w:rPr>
      </w:pPr>
      <w:r>
        <w:rPr>
          <w:rFonts w:ascii="Times New Roman" w:cs="Times New Roman" w:eastAsia="Times New Roman" w:hAnsi="Times New Roman"/>
          <w:sz w:val="19"/>
          <w:szCs w:val="19"/>
          <w:color w:val="auto"/>
        </w:rPr>
        <w:t>information agreement, proprietary information and inventions agreement and any other agreement between the Covered Employee and the</w:t>
      </w:r>
    </w:p>
    <w:p>
      <w:pPr>
        <w:ind w:left="120"/>
        <w:spacing w:after="0" w:line="221" w:lineRule="auto"/>
        <w:rPr>
          <w:sz w:val="20"/>
          <w:szCs w:val="20"/>
          <w:color w:val="auto"/>
        </w:rPr>
      </w:pPr>
      <w:r>
        <w:rPr>
          <w:rFonts w:ascii="Times New Roman" w:cs="Times New Roman" w:eastAsia="Times New Roman" w:hAnsi="Times New Roman"/>
          <w:sz w:val="20"/>
          <w:szCs w:val="20"/>
          <w:color w:val="auto"/>
        </w:rPr>
        <w:t>Company. Severance Benefits under this Plan shall terminate immediately for a Covered Employee if such Covered Employee is in material violation, at any time, of any legal or contractual obligation owed to the Company.</w:t>
      </w:r>
    </w:p>
    <w:p>
      <w:pPr>
        <w:spacing w:after="0" w:line="1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Section 280G</w:t>
      </w:r>
      <w:r>
        <w:rPr>
          <w:rFonts w:ascii="Times New Roman" w:cs="Times New Roman" w:eastAsia="Times New Roman" w:hAnsi="Times New Roman"/>
          <w:sz w:val="20"/>
          <w:szCs w:val="20"/>
          <w:color w:val="auto"/>
        </w:rPr>
        <w:t>. Any provision of the Plan to the contrary notwithstanding, if any payment or benefit a Covered</w:t>
      </w:r>
    </w:p>
    <w:p>
      <w:pPr>
        <w:ind w:left="120"/>
        <w:spacing w:after="0" w:line="215" w:lineRule="auto"/>
        <w:rPr>
          <w:sz w:val="20"/>
          <w:szCs w:val="20"/>
          <w:color w:val="auto"/>
        </w:rPr>
      </w:pPr>
      <w:r>
        <w:rPr>
          <w:rFonts w:ascii="Times New Roman" w:cs="Times New Roman" w:eastAsia="Times New Roman" w:hAnsi="Times New Roman"/>
          <w:sz w:val="19"/>
          <w:szCs w:val="19"/>
          <w:color w:val="auto"/>
        </w:rPr>
        <w:t>Employee would receive from the Company and its subsidiaries or an acquiror pursuant to the Plan or otherwise (a “</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would (i) constitute a “parachute payment” within the meaning of Section 280G of the Code, and (ii) but for this sentence, be subject to the excise tax</w:t>
      </w:r>
    </w:p>
    <w:p>
      <w:pPr>
        <w:ind w:left="120"/>
        <w:spacing w:after="0" w:line="211" w:lineRule="auto"/>
        <w:rPr>
          <w:sz w:val="20"/>
          <w:szCs w:val="20"/>
          <w:color w:val="auto"/>
        </w:rPr>
      </w:pPr>
      <w:r>
        <w:rPr>
          <w:rFonts w:ascii="Times New Roman" w:cs="Times New Roman" w:eastAsia="Times New Roman" w:hAnsi="Times New Roman"/>
          <w:sz w:val="20"/>
          <w:szCs w:val="20"/>
          <w:color w:val="auto"/>
        </w:rPr>
        <w:t>imposed by Section 4999 of the Code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such Payment will be equal to the Higher Amount (defined below). The</w:t>
      </w:r>
    </w:p>
    <w:p>
      <w:pPr>
        <w:ind w:left="12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Higher Amount</w:t>
      </w:r>
      <w:r>
        <w:rPr>
          <w:rFonts w:ascii="Times New Roman" w:cs="Times New Roman" w:eastAsia="Times New Roman" w:hAnsi="Times New Roman"/>
          <w:sz w:val="20"/>
          <w:szCs w:val="20"/>
          <w:color w:val="auto"/>
        </w:rPr>
        <w:t>” will be either (x) the largest portion of the Payment that would result in no portion of the Payment being subject to the Excise Tax or (y) the largest portion, up to and including the total, of the Payment, whichever amount, after taking into account all</w:t>
      </w:r>
    </w:p>
    <w:p>
      <w:pPr>
        <w:spacing w:after="0" w:line="1" w:lineRule="exact"/>
        <w:rPr>
          <w:sz w:val="20"/>
          <w:szCs w:val="20"/>
          <w:color w:val="auto"/>
        </w:rPr>
      </w:pPr>
    </w:p>
    <w:p>
      <w:pPr>
        <w:ind w:left="120"/>
        <w:spacing w:after="0" w:line="204" w:lineRule="auto"/>
        <w:rPr>
          <w:sz w:val="20"/>
          <w:szCs w:val="20"/>
          <w:color w:val="auto"/>
        </w:rPr>
      </w:pPr>
      <w:r>
        <w:rPr>
          <w:rFonts w:ascii="Times New Roman" w:cs="Times New Roman" w:eastAsia="Times New Roman" w:hAnsi="Times New Roman"/>
          <w:sz w:val="20"/>
          <w:szCs w:val="20"/>
          <w:color w:val="auto"/>
        </w:rPr>
        <w:t>applicable federal, state and local employment taxes, income taxes, and the Excise Tax (all computed at the highest applicable marginal rate), results in Covered Employee’s receipt, on an after-tax basis, of the greater economic benefit notwithstanding that all or some portion</w:t>
      </w:r>
    </w:p>
    <w:p>
      <w:pPr>
        <w:ind w:left="120"/>
        <w:spacing w:after="0" w:line="211" w:lineRule="auto"/>
        <w:rPr>
          <w:sz w:val="20"/>
          <w:szCs w:val="20"/>
          <w:color w:val="auto"/>
        </w:rPr>
      </w:pPr>
      <w:r>
        <w:rPr>
          <w:rFonts w:ascii="Times New Roman" w:cs="Times New Roman" w:eastAsia="Times New Roman" w:hAnsi="Times New Roman"/>
          <w:sz w:val="20"/>
          <w:szCs w:val="20"/>
          <w:color w:val="auto"/>
        </w:rPr>
        <w:t>of the Payment may be subject to the Excise Tax. If a reduction in payments or benefits constituting “parachute payments” is necessary so</w:t>
      </w:r>
    </w:p>
    <w:p>
      <w:pPr>
        <w:spacing w:after="0" w:line="1" w:lineRule="exact"/>
        <w:rPr>
          <w:sz w:val="20"/>
          <w:szCs w:val="20"/>
          <w:color w:val="auto"/>
        </w:rPr>
      </w:pPr>
    </w:p>
    <w:p>
      <w:pPr>
        <w:ind w:left="120"/>
        <w:spacing w:after="0" w:line="204" w:lineRule="auto"/>
        <w:rPr>
          <w:sz w:val="20"/>
          <w:szCs w:val="20"/>
          <w:color w:val="auto"/>
        </w:rPr>
      </w:pPr>
      <w:r>
        <w:rPr>
          <w:rFonts w:ascii="Times New Roman" w:cs="Times New Roman" w:eastAsia="Times New Roman" w:hAnsi="Times New Roman"/>
          <w:sz w:val="20"/>
          <w:szCs w:val="20"/>
          <w:color w:val="auto"/>
        </w:rPr>
        <w:t>that the Payment equals the Higher Amount, reduction will occur in the manner that results in the greatest economic benefit for a Covered Employee. If more than one method of reduction will result in the same economic benefit, the items so reduced will be reduced pro rata. In</w:t>
      </w:r>
    </w:p>
    <w:p>
      <w:pPr>
        <w:ind w:left="120"/>
        <w:spacing w:after="0" w:line="223" w:lineRule="auto"/>
        <w:rPr>
          <w:sz w:val="20"/>
          <w:szCs w:val="20"/>
          <w:color w:val="auto"/>
        </w:rPr>
      </w:pPr>
      <w:r>
        <w:rPr>
          <w:rFonts w:ascii="Times New Roman" w:cs="Times New Roman" w:eastAsia="Times New Roman" w:hAnsi="Times New Roman"/>
          <w:sz w:val="19"/>
          <w:szCs w:val="19"/>
          <w:color w:val="auto"/>
        </w:rPr>
        <w:t>no event will the Company, any subsidiary or any stockholder be liable to any Covered Employee for any amounts not paid as a result of the</w:t>
      </w:r>
    </w:p>
    <w:p>
      <w:pPr>
        <w:ind w:left="120"/>
        <w:spacing w:after="0" w:line="204" w:lineRule="auto"/>
        <w:rPr>
          <w:sz w:val="20"/>
          <w:szCs w:val="20"/>
          <w:color w:val="auto"/>
        </w:rPr>
      </w:pPr>
      <w:r>
        <w:rPr>
          <w:rFonts w:ascii="Times New Roman" w:cs="Times New Roman" w:eastAsia="Times New Roman" w:hAnsi="Times New Roman"/>
          <w:sz w:val="20"/>
          <w:szCs w:val="20"/>
          <w:color w:val="auto"/>
        </w:rPr>
        <w:t>operation of this Section 6.3. The Company will use commercially reasonable efforts to cause the accounting or law firm engaged to make the determinations hereunder to provide its calculations, together with detailed supporting documentation, to a Covered Employee and the</w:t>
      </w:r>
    </w:p>
    <w:p>
      <w:pPr>
        <w:spacing w:after="0" w:line="1" w:lineRule="exact"/>
        <w:rPr>
          <w:sz w:val="20"/>
          <w:szCs w:val="20"/>
          <w:color w:val="auto"/>
        </w:rPr>
      </w:pPr>
    </w:p>
    <w:p>
      <w:pPr>
        <w:ind w:left="120"/>
        <w:spacing w:after="0" w:line="228" w:lineRule="auto"/>
        <w:rPr>
          <w:sz w:val="20"/>
          <w:szCs w:val="20"/>
          <w:color w:val="auto"/>
        </w:rPr>
      </w:pPr>
      <w:r>
        <w:rPr>
          <w:rFonts w:ascii="Times New Roman" w:cs="Times New Roman" w:eastAsia="Times New Roman" w:hAnsi="Times New Roman"/>
          <w:sz w:val="20"/>
          <w:szCs w:val="20"/>
          <w:color w:val="auto"/>
        </w:rPr>
        <w:t>Company within 15 calendar days after the date on which such Covered Employee’s right to a Payment is triggered (if requested at that time by such Covered Employee or the Company) or such other time as requested by such Covered Employee or the Company.</w:t>
      </w:r>
    </w:p>
    <w:p>
      <w:pPr>
        <w:spacing w:after="0" w:line="203" w:lineRule="exact"/>
        <w:rPr>
          <w:sz w:val="20"/>
          <w:szCs w:val="20"/>
          <w:color w:val="auto"/>
        </w:rPr>
      </w:pPr>
    </w:p>
    <w:p>
      <w:pPr>
        <w:jc w:val="both"/>
        <w:ind w:left="120" w:firstLine="643"/>
        <w:spacing w:after="0" w:line="250" w:lineRule="auto"/>
        <w:tabs>
          <w:tab w:leader="none" w:pos="13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Non-Duplication of Benefits</w:t>
      </w:r>
      <w:r>
        <w:rPr>
          <w:rFonts w:ascii="Times New Roman" w:cs="Times New Roman" w:eastAsia="Times New Roman" w:hAnsi="Times New Roman"/>
          <w:sz w:val="20"/>
          <w:szCs w:val="20"/>
          <w:color w:val="auto"/>
        </w:rPr>
        <w:t>. Notwithstanding any other provision in the Plan to the contrary, the Severance Benefits provided to a Covered Employee are intended to be and are exclusive and in lieu of any other severance and change in control benefits or payments to which such Covered Employee may otherwise be entitled, either at law, tort, or contract, in equity, or under the Plan, in the event of any termination of such Covered Employee’s employment. The Covered Employee will be entitled to no severance or change in control benefits or payments upon a termination of employment that constitutes a Covered Termination other than those benefits expressly set forth herein and those benefits required to be provided by applicable law or as negotiated in accordance with applicable law (including any severance benefits that may be included in a severance agreement, employment agreement or similar contract between the Company or a subsidiary of the Company and the Covered Employee). Notwithstanding the foregoing, if a Covered Employee is entitled to any benefits other than the benefits under the Plan by operation of applicable law or as negotiated in accordance with applicable law, such Covered Employee’s benefits under the Plan shall be provided only to the extent more favorable than such other arrangement. The Administrator, in its sole discretion, shall have the authority to reduce or otherwise adjust a Covered Employee’s benefits under the Plan, in whole or in part, by any other severance benefits, pay and benefits in lieu of notice, or other similar benefits payable to such Covered Employee under the Plan that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payable in connection with the Covered Employee’s termination of employment pursuant to (i) any applicable legal requirement, including the Worker Adjustment and Retraining Notification Act (the “</w:t>
      </w:r>
      <w:r>
        <w:rPr>
          <w:rFonts w:ascii="Times New Roman" w:cs="Times New Roman" w:eastAsia="Times New Roman" w:hAnsi="Times New Roman"/>
          <w:sz w:val="20"/>
          <w:szCs w:val="20"/>
          <w:u w:val="single" w:color="auto"/>
          <w:color w:val="auto"/>
        </w:rPr>
        <w:t>WARN Act</w:t>
      </w:r>
      <w:r>
        <w:rPr>
          <w:rFonts w:ascii="Times New Roman" w:cs="Times New Roman" w:eastAsia="Times New Roman" w:hAnsi="Times New Roman"/>
          <w:sz w:val="20"/>
          <w:szCs w:val="20"/>
          <w:color w:val="auto"/>
        </w:rPr>
        <w:t>”), the California Plant Closing Act or any other similar state law, or (ii) any policy or practice of the Company providing for the Covered Employee to remain on payroll for a limited period of time after being given notice of termination. The benefits provided under the Plan are intended to satisfy, in whole or in part, any and all statutory obligations of the Company that may arise out of a Covered Employee’s termination of employment, and the Plan Administrator shall so construe and implement the terms of the Plan.</w:t>
      </w:r>
    </w:p>
    <w:p>
      <w:pPr>
        <w:spacing w:after="0" w:line="219" w:lineRule="exact"/>
        <w:rPr>
          <w:sz w:val="20"/>
          <w:szCs w:val="20"/>
          <w:color w:val="auto"/>
        </w:rPr>
      </w:pPr>
    </w:p>
    <w:p>
      <w:pPr>
        <w:jc w:val="both"/>
        <w:ind w:firstLine="643"/>
        <w:spacing w:after="0" w:line="249" w:lineRule="auto"/>
        <w:tabs>
          <w:tab w:leader="none" w:pos="11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Notwithstanding anything to the contrary in the Plan, no severance payments or benefits will become payable until the Covered Employee has a “separation from service” within the meaning of Section 409A of the Code and the final regulations and any guidance promulgated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Further, if some or all of the Covered Employee’s Severance Benefits are subject to Section 409A and such Covered Employee is a “specified employee” within the meaning of Section 409A at the time of such Covered Employee’s separation from service (other than due to death), then such Severance Benefits otherwise due to such Covered Employee on or within the six-month period following such Covered Employee’s separation from service will accrue during such six-month period and will become payable in a lump sum payment (less applicable withholding taxes) on the date six months and one day following the date of the Covered Employee’s separation from service if necessary to avoid adverse taxation under Section 409A. All subsequent payments, if any, will be payable in accordance with the payment schedule applicable to each payment or benefit. Notwithstanding anything herein to the contrary, if the Covered Employee dies following such Covered Employee’s separation from service but prior to the six-month anniversary of such Covered Employee’s date of separation, then any payments delayed in accordance with this paragraph will be payable in a lump sum (less applicable withholding taxes) to the Covered Employee’s estate as soon as administratively practicable after the date of such Covered Employee’s death and all other benefits will be payable in accordance with the payment schedule applicable to each payment or benefit. Each payment and benefit payable under the Plan is intended to constitute a separate payment for purposes of Section 409A. It is the intent of this Plan to comply with or be exempt from the requirements of Section 409A so that none of the severance payments and benefits to be provided hereunder will be subject to the additional tax imposed under Section 409A, and any ambiguities herein will be interpreted to so comply. Notwithstanding the foregoing, the Company makes no representations that the payments and benefits provided under the Plan comply with Section 409A, and in no event shall the Company or any of its representatives be liable for all or any portion of any taxes, penalties, interest, or other expenses that may be incurred by the Covered Employee on account of non-compliance with Section 409A.</w:t>
      </w:r>
    </w:p>
    <w:p>
      <w:pPr>
        <w:spacing w:after="0" w:line="236" w:lineRule="exact"/>
        <w:rPr>
          <w:rFonts w:ascii="Times New Roman" w:cs="Times New Roman" w:eastAsia="Times New Roman" w:hAnsi="Times New Roman"/>
          <w:sz w:val="20"/>
          <w:szCs w:val="20"/>
          <w:color w:val="auto"/>
        </w:rPr>
      </w:pPr>
    </w:p>
    <w:p>
      <w:pPr>
        <w:ind w:firstLine="644"/>
        <w:spacing w:after="0" w:line="269" w:lineRule="auto"/>
        <w:tabs>
          <w:tab w:leader="none" w:pos="11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will withhold from any Severance Benefits all federal, state, local and other taxes required to be withheld therefrom and any other required payroll deductions.</w:t>
      </w:r>
    </w:p>
    <w:p>
      <w:pPr>
        <w:spacing w:after="0" w:line="199" w:lineRule="exact"/>
        <w:rPr>
          <w:rFonts w:ascii="Times New Roman" w:cs="Times New Roman" w:eastAsia="Times New Roman" w:hAnsi="Times New Roman"/>
          <w:sz w:val="20"/>
          <w:szCs w:val="20"/>
          <w:color w:val="auto"/>
        </w:rPr>
      </w:pPr>
    </w:p>
    <w:p>
      <w:pPr>
        <w:jc w:val="both"/>
        <w:ind w:firstLine="643"/>
        <w:spacing w:after="0" w:line="251" w:lineRule="auto"/>
        <w:tabs>
          <w:tab w:leader="none" w:pos="117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Plan will be administered and interpreted by the Administrator (in the Administrator’s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Any decision made or other action taken by the Administrator with respect to the Plan, and any interpretation by the Administrator of any term or condition of the Plan, or any related document that (i) does not affect the benefits payable under the Plan shall not be subject to review unless found to be arbitrary and capricious or (ii) does affect the benefits payable under the Plan shall not be subject to review unless found to be unreasonable or not to have been made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20"/>
          </w:cols>
          <w:pgMar w:left="440" w:top="1440" w:right="339" w:bottom="1440" w:gutter="0" w:footer="0" w:header="0"/>
        </w:sectPr>
      </w:pPr>
    </w:p>
    <w:bookmarkStart w:id="103" w:name="page104"/>
    <w:bookmarkEnd w:id="103"/>
    <w:p>
      <w:pPr>
        <w:spacing w:after="0" w:line="257" w:lineRule="exact"/>
        <w:rPr>
          <w:sz w:val="20"/>
          <w:szCs w:val="20"/>
          <w:color w:val="auto"/>
        </w:rPr>
      </w:pPr>
    </w:p>
    <w:p>
      <w:pPr>
        <w:jc w:val="both"/>
        <w:ind w:firstLine="640"/>
        <w:spacing w:after="0" w:line="251" w:lineRule="auto"/>
        <w:tabs>
          <w:tab w:leader="none" w:pos="116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or Termination</w:t>
      </w:r>
      <w:r>
        <w:rPr>
          <w:rFonts w:ascii="Times New Roman" w:cs="Times New Roman" w:eastAsia="Times New Roman" w:hAnsi="Times New Roman"/>
          <w:sz w:val="20"/>
          <w:szCs w:val="20"/>
          <w:color w:val="auto"/>
        </w:rPr>
        <w:t>. The Company, by action of the Administrator, reserves the right to amend or terminate the Plan at any time, without advance notice to any Covered Employee and without regard to the effect of the amendment or termination on any Covered Employee or on any other individual. Any amendment or termination of the Plan will be in writing. Notwithstanding the foregoing, a Covered Employee’s rights to receive payments and benefits pursuant to this Plan in connection with a Covered Termination during a Change in Control Period may not be adversely affected, without the Covered Employee’s written consent, by an amendment or termination of this Plan occurring during such Change in Control Period. Unless sooner terminated by the Administrator, the Plan will automatically terminate on the tenth anniversary of the Effective Date.</w:t>
      </w:r>
    </w:p>
    <w:p>
      <w:pPr>
        <w:spacing w:after="0" w:line="233" w:lineRule="exact"/>
        <w:rPr>
          <w:rFonts w:ascii="Times New Roman" w:cs="Times New Roman" w:eastAsia="Times New Roman" w:hAnsi="Times New Roman"/>
          <w:sz w:val="20"/>
          <w:szCs w:val="20"/>
          <w:color w:val="auto"/>
        </w:rPr>
      </w:pPr>
    </w:p>
    <w:p>
      <w:pPr>
        <w:jc w:val="both"/>
        <w:ind w:firstLine="643"/>
        <w:spacing w:after="0" w:line="248" w:lineRule="auto"/>
        <w:tabs>
          <w:tab w:leader="none" w:pos="117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Procedure</w:t>
      </w:r>
      <w:r>
        <w:rPr>
          <w:rFonts w:ascii="Times New Roman" w:cs="Times New Roman" w:eastAsia="Times New Roman" w:hAnsi="Times New Roman"/>
          <w:sz w:val="20"/>
          <w:szCs w:val="20"/>
          <w:color w:val="auto"/>
        </w:rPr>
        <w:t>. Claims for benefits under the Plan shall be administered in accordance with Section 503 of ERISA and the Department of Labor Regulations thereunder. Any employee or other person who believes they are entitled to any payment under the Plan (a “</w:t>
      </w:r>
      <w:r>
        <w:rPr>
          <w:rFonts w:ascii="Times New Roman" w:cs="Times New Roman" w:eastAsia="Times New Roman" w:hAnsi="Times New Roman"/>
          <w:sz w:val="20"/>
          <w:szCs w:val="20"/>
          <w:u w:val="single" w:color="auto"/>
          <w:color w:val="auto"/>
        </w:rPr>
        <w:t>claimant</w:t>
      </w:r>
      <w:r>
        <w:rPr>
          <w:rFonts w:ascii="Times New Roman" w:cs="Times New Roman" w:eastAsia="Times New Roman" w:hAnsi="Times New Roman"/>
          <w:sz w:val="20"/>
          <w:szCs w:val="20"/>
          <w:color w:val="auto"/>
        </w:rPr>
        <w:t>”) may submit a claim in writing to the Administrator within 90 days of the earlier of (i) the date the claimant learned the amount of such claimant’s severance benefits under the Plan or (ii) the date the claimant learned that they will not be entitled to any benefits under the Plan. In determining claims for benefits, the Administrator or its delegate has the authority to interpret the Plan, to resolve ambiguities, to make factual determinations, and to resolve questions relating to eligibility for and amount of benefits. If the claim is denied (in full or in part), the claimant will be provided a written notice explaining the specific reasons for the denial and referring to the provisions of the Plan on which the denial is based. The notice will also describe any additional information or material that the Administrator needs to complete the review and an explanation of why such information or material is necessary and the Plan’s procedures for appealing the denial (including a statement of the applicant’s right to bring a civil action under Section 502(a) of ERISA following a denial on review of the claim, as described below). The denial notice will be provided within 90 days after the claim is received. If special circumstances require an extension of time (up to 90 days), written notice of the extension will be given to the claimant (or representative) within the initial 90-day period. This notice of extension will indicate the special circumstances requiring the extension of time and the date by which the Administrator expects to render its decision on the claim. If the extension is provided due to a claimant’s failure to provide sufficient information, the time frame for rendering the decision will be tolled from the date the notification is sent to the claimant about the failure to the date on which the claimant responds to the request for additional information. The Administrator has delegated the claims review responsibility to the Company’s Chief Executive Officer or such other individual designated by the Administrator, except in the case of a claim filed by or on behalf of the Company’s Chief Executive Officer or such other individual designated by the Administrator, in which case, the claim will be reviewed by the Chair of the Company’s Board of Directors.</w:t>
      </w:r>
    </w:p>
    <w:p>
      <w:pPr>
        <w:spacing w:after="0" w:line="250" w:lineRule="exact"/>
        <w:rPr>
          <w:rFonts w:ascii="Times New Roman" w:cs="Times New Roman" w:eastAsia="Times New Roman" w:hAnsi="Times New Roman"/>
          <w:sz w:val="20"/>
          <w:szCs w:val="20"/>
          <w:color w:val="auto"/>
        </w:rPr>
      </w:pPr>
    </w:p>
    <w:p>
      <w:pPr>
        <w:jc w:val="both"/>
        <w:ind w:firstLine="643"/>
        <w:spacing w:after="0" w:line="250" w:lineRule="auto"/>
        <w:tabs>
          <w:tab w:leader="none" w:pos="117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Appeal Procedure</w:t>
      </w:r>
      <w:r>
        <w:rPr>
          <w:rFonts w:ascii="Times New Roman" w:cs="Times New Roman" w:eastAsia="Times New Roman" w:hAnsi="Times New Roman"/>
          <w:sz w:val="20"/>
          <w:szCs w:val="20"/>
          <w:color w:val="auto"/>
        </w:rPr>
        <w:t>. If the claimant’s claim is denied, the claimant (or such claimant’s authorized representative) may apply in writing to an appeals official appointed by the Administrator (which may be a person, committee or other entity) for a review of the decision denying the claim. Review must be requested within 60 days following the date the claimant received the written notice of a claim denial or else the claimant will lose the right to such review. A request for review must set forth all the grounds on which such request is based, all facts in support of the request, and any other matters that the claimant feels are pertinent. In connection with the request for review, the claimant (or representative) has the right to review and obtain copies of all documents and other information relevant to the claim, upon request and at no charge, and to submit written comments, documents, records and other information relating to such claimant’s claim. The review shall take into account all comments, documents, records and other information submitted by the claimant (or representative) relating to the claim, without regard to whether such information was submitted or considered in the initial benefit determination. The appeals official will provide written notice of its decision on review within 60 days after it receives a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20"/>
          </w:cols>
          <w:pgMar w:left="440" w:top="1440" w:right="339" w:bottom="1440" w:gutter="0" w:footer="0" w:header="0"/>
        </w:sectPr>
      </w:pPr>
    </w:p>
    <w:bookmarkStart w:id="104" w:name="page105"/>
    <w:bookmarkEnd w:id="104"/>
    <w:p>
      <w:pPr>
        <w:spacing w:after="0" w:line="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request. If special circumstances require an extension of time (up to 60 days), written notice of the extension will be given to the claimant (or representative) within the initial 60-day period. This notice of extension will indicate the special circumstances requiring the extension of time and the date by which the appeals official expects to render its decision. If the extension is provided due to a claimant’s failure to provide sufficient information, the time frame for rendering the decision on review is tolled from the date the notification is sent to the claimant about the failure to the date on which the claimant responds to the request for additional information. If the claim is denied (in full or in part) upon review, the claimant will be provided a written notice explaining the specific reasons for the denial and referring to the provisions of the Plan on which the denial is based. The notice shall also include a statement that the claimant will be provided, upon request and free of charge, reasonable access to, and copies of, all documents and other information relevant to the claim and a statement regarding the claimant’s right to bring an action under Section 502(a) of ERISA. The Administrator has delegated the appeals review responsibility to the Company’s Chief Executive Officer, except in the case of an appeal filed by or on behalf of the Company’s Chief Executive Officer, in which case, the appeal will be reviewed by the Lead Independent Director of the Company’s Board of Directors.</w:t>
      </w:r>
    </w:p>
    <w:p>
      <w:pPr>
        <w:spacing w:after="0" w:line="294" w:lineRule="exact"/>
        <w:rPr>
          <w:sz w:val="20"/>
          <w:szCs w:val="20"/>
          <w:color w:val="auto"/>
        </w:rPr>
      </w:pPr>
    </w:p>
    <w:p>
      <w:pPr>
        <w:jc w:val="both"/>
        <w:ind w:firstLine="643"/>
        <w:spacing w:after="0" w:line="249" w:lineRule="auto"/>
        <w:tabs>
          <w:tab w:leader="none" w:pos="117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No arbitration proceeding shall be brought to recover benefits under the Plan until the claims procedures described in Sections 12 and 13 have been exhausted and the Plan benefits requested have been denied in whole or in part. Notwithstanding any other provision of the Plan, to ensure the timely and economical resolution of disputes, all disputes, claims, or causes of action arising from or relating to the enforcement, breach, performance or interpretation of this Plan will be resolved to the fullest extent permitted by law by final, binding and confidential arbitration, by a single arbitrator, in Fremont, California, conducted by JAMS, Inc. (“</w:t>
      </w:r>
      <w:r>
        <w:rPr>
          <w:rFonts w:ascii="Times New Roman" w:cs="Times New Roman" w:eastAsia="Times New Roman" w:hAnsi="Times New Roman"/>
          <w:sz w:val="20"/>
          <w:szCs w:val="20"/>
          <w:u w:val="single" w:color="auto"/>
          <w:color w:val="auto"/>
        </w:rPr>
        <w:t>JAMS</w:t>
      </w:r>
      <w:r>
        <w:rPr>
          <w:rFonts w:ascii="Times New Roman" w:cs="Times New Roman" w:eastAsia="Times New Roman" w:hAnsi="Times New Roman"/>
          <w:sz w:val="20"/>
          <w:szCs w:val="20"/>
          <w:color w:val="auto"/>
        </w:rPr>
        <w:t>”) under the then-applicable JAMS rules (available at the following web address: https://www.jamsadr.com/rules-employment). By agreeing to this arbitration procedure, each Covered Employee and the Company waive the right to resolve any such dispute through a trial by jury or judge or administrative proceeding. Covered Employees will have the right to be represented by legal counsel at any arbitration proceeding. In addition, all claims, disputes, or causes of action under this section, whether by a Covered Employee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a Covered Employee or the Company would be entitled to seek in a court of law. The Company shall pay all JAMS’ arbitration fees in excess of the amount of court fees that would be required of a Covered Employee if the dispute were decided in a court of law. Nothing in this paragraph is intended to prevent either a Covered Employee or the Company from obtaining injunctive relief in court to prevent irreparable harm pending the conclusion of any such arbitration. Any awards or orders in such arbitrations may be entered and enforced as judgments in the federal and state courts of any competent jurisdiction. Any arbitration must be commenced within one year after the Covered Employee’s receipt of notification that their appeal was denied. The foregoing provisions shall apply to the extent consistent with and permitted by ERISA.</w:t>
      </w:r>
    </w:p>
    <w:p>
      <w:pPr>
        <w:spacing w:after="0" w:line="222" w:lineRule="exact"/>
        <w:rPr>
          <w:rFonts w:ascii="Times New Roman" w:cs="Times New Roman" w:eastAsia="Times New Roman" w:hAnsi="Times New Roman"/>
          <w:sz w:val="20"/>
          <w:szCs w:val="20"/>
          <w:color w:val="auto"/>
        </w:rPr>
      </w:pPr>
    </w:p>
    <w:p>
      <w:pPr>
        <w:ind w:right="20" w:firstLine="644"/>
        <w:spacing w:after="0" w:line="283" w:lineRule="auto"/>
        <w:tabs>
          <w:tab w:leader="none" w:pos="117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Source of Payments</w:t>
      </w:r>
      <w:r>
        <w:rPr>
          <w:rFonts w:ascii="Times New Roman" w:cs="Times New Roman" w:eastAsia="Times New Roman" w:hAnsi="Times New Roman"/>
          <w:sz w:val="20"/>
          <w:szCs w:val="20"/>
          <w:color w:val="auto"/>
        </w:rPr>
        <w:t>. All severance benefits will be paid in cash from the general funds of the Company; no separate fund will be established under the Plan, and the Plan will have no assets.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20"/>
          </w:cols>
          <w:pgMar w:left="440" w:top="1440" w:right="339" w:bottom="1440" w:gutter="0" w:footer="0" w:header="0"/>
        </w:sectPr>
      </w:pPr>
    </w:p>
    <w:bookmarkStart w:id="105" w:name="page106"/>
    <w:bookmarkEnd w:id="105"/>
    <w:p>
      <w:pPr>
        <w:spacing w:after="0" w:line="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right of any person to receive any payment under the Plan will be any greater than the right of any other general unsecured creditor of the Company.</w:t>
      </w:r>
    </w:p>
    <w:p>
      <w:pPr>
        <w:spacing w:after="0" w:line="213" w:lineRule="exact"/>
        <w:rPr>
          <w:sz w:val="20"/>
          <w:szCs w:val="20"/>
          <w:color w:val="auto"/>
        </w:rPr>
      </w:pPr>
    </w:p>
    <w:p>
      <w:pPr>
        <w:jc w:val="both"/>
        <w:ind w:firstLine="643"/>
        <w:spacing w:after="0" w:line="261" w:lineRule="auto"/>
        <w:tabs>
          <w:tab w:leader="none" w:pos="117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Inalienability</w:t>
      </w:r>
      <w:r>
        <w:rPr>
          <w:rFonts w:ascii="Times New Roman" w:cs="Times New Roman" w:eastAsia="Times New Roman" w:hAnsi="Times New Roman"/>
          <w:sz w:val="20"/>
          <w:szCs w:val="20"/>
          <w:color w:val="auto"/>
        </w:rPr>
        <w:t>. In no event may any current or former employee of the Company or any of its subsidiaries or affiliates sell, transfer, anticipate, assign or otherwise dispose of any right or interest under the Plan. At no time will any such right or interest be subject to the claims of creditors nor liable to attachment, execution or other legal process.</w:t>
      </w:r>
    </w:p>
    <w:p>
      <w:pPr>
        <w:spacing w:after="0" w:line="208" w:lineRule="exact"/>
        <w:rPr>
          <w:rFonts w:ascii="Times New Roman" w:cs="Times New Roman" w:eastAsia="Times New Roman" w:hAnsi="Times New Roman"/>
          <w:sz w:val="20"/>
          <w:szCs w:val="20"/>
          <w:color w:val="auto"/>
        </w:rPr>
      </w:pPr>
    </w:p>
    <w:p>
      <w:pPr>
        <w:jc w:val="both"/>
        <w:ind w:firstLine="644"/>
        <w:spacing w:after="0" w:line="253" w:lineRule="auto"/>
        <w:tabs>
          <w:tab w:leader="none" w:pos="117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Enlargement of Employment Rights</w:t>
      </w:r>
      <w:r>
        <w:rPr>
          <w:rFonts w:ascii="Times New Roman" w:cs="Times New Roman" w:eastAsia="Times New Roman" w:hAnsi="Times New Roman"/>
          <w:sz w:val="20"/>
          <w:szCs w:val="20"/>
          <w:color w:val="auto"/>
        </w:rPr>
        <w:t>. Neither the establishment nor maintenance of the Plan, any amendment of the Plan, nor the making of any benefit payment hereunder, will be construed to confer upon any individual any right to be continued as an employee of the Company. The Company expressly reserves the right to discharge any of its employees at any time, with or without cause. However, as described in the Plan, a Covered Employee may be entitled to benefits under the Plan depending upon the circumstances of such Covered Employee’s termination of employment.</w:t>
      </w:r>
    </w:p>
    <w:p>
      <w:pPr>
        <w:spacing w:after="0" w:line="218" w:lineRule="exact"/>
        <w:rPr>
          <w:rFonts w:ascii="Times New Roman" w:cs="Times New Roman" w:eastAsia="Times New Roman" w:hAnsi="Times New Roman"/>
          <w:sz w:val="20"/>
          <w:szCs w:val="20"/>
          <w:color w:val="auto"/>
        </w:rPr>
      </w:pPr>
    </w:p>
    <w:p>
      <w:pPr>
        <w:jc w:val="both"/>
        <w:ind w:firstLine="643"/>
        <w:spacing w:after="0" w:line="253" w:lineRule="auto"/>
        <w:tabs>
          <w:tab w:leader="none" w:pos="117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Any successor to the Company of all or substantially all of the Company’s business or assets (whether direct or indirect and whether by purchase, merger, consolidation, liquidation or otherwise)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will include any successor to the Company’s business or assets which become bound by the terms of the Plan by operation of law, or otherwise.</w:t>
      </w:r>
    </w:p>
    <w:p>
      <w:pPr>
        <w:spacing w:after="0" w:line="232" w:lineRule="exact"/>
        <w:rPr>
          <w:rFonts w:ascii="Times New Roman" w:cs="Times New Roman" w:eastAsia="Times New Roman" w:hAnsi="Times New Roman"/>
          <w:sz w:val="20"/>
          <w:szCs w:val="20"/>
          <w:color w:val="auto"/>
        </w:rPr>
      </w:pPr>
    </w:p>
    <w:p>
      <w:pPr>
        <w:ind w:firstLine="644"/>
        <w:spacing w:after="0" w:line="269" w:lineRule="auto"/>
        <w:tabs>
          <w:tab w:leader="none" w:pos="117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The provisions of the Plan will be construed, administered and enforced in accordance with ERISA and, to the extent applicable, the internal substantive laws of the State of California (except its conflict of laws provisions).</w:t>
      </w:r>
    </w:p>
    <w:p>
      <w:pPr>
        <w:spacing w:after="0" w:line="172" w:lineRule="exact"/>
        <w:rPr>
          <w:rFonts w:ascii="Times New Roman" w:cs="Times New Roman" w:eastAsia="Times New Roman" w:hAnsi="Times New Roman"/>
          <w:sz w:val="20"/>
          <w:szCs w:val="20"/>
          <w:color w:val="auto"/>
        </w:rPr>
      </w:pPr>
    </w:p>
    <w:p>
      <w:pPr>
        <w:ind w:right="20" w:firstLine="639"/>
        <w:spacing w:after="0" w:line="269" w:lineRule="auto"/>
        <w:tabs>
          <w:tab w:leader="none" w:pos="119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the Plan is held invalid or unenforceable, its invalidity or unenforceability will not affect any other provision of the Plan, and the Plan will be construed and enforced as if such provision had not been included.</w:t>
      </w:r>
    </w:p>
    <w:p>
      <w:pPr>
        <w:spacing w:after="0" w:line="199" w:lineRule="exact"/>
        <w:rPr>
          <w:rFonts w:ascii="Times New Roman" w:cs="Times New Roman" w:eastAsia="Times New Roman" w:hAnsi="Times New Roman"/>
          <w:sz w:val="20"/>
          <w:szCs w:val="20"/>
          <w:color w:val="auto"/>
        </w:rPr>
      </w:pPr>
    </w:p>
    <w:p>
      <w:pPr>
        <w:ind w:right="20" w:firstLine="644"/>
        <w:spacing w:after="0" w:line="283" w:lineRule="auto"/>
        <w:tabs>
          <w:tab w:leader="none" w:pos="117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in this Plan document are for purposes of reference only and will not limit or otherwise affect the meaning hereof.</w:t>
      </w:r>
    </w:p>
    <w:p>
      <w:pPr>
        <w:spacing w:after="0" w:line="186"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Information</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ind w:left="620"/>
        <w:spacing w:after="0"/>
        <w:tabs>
          <w:tab w:leader="none" w:pos="1720" w:val="left"/>
        </w:tabs>
        <w:rPr>
          <w:sz w:val="20"/>
          <w:szCs w:val="20"/>
          <w:color w:val="auto"/>
        </w:rPr>
      </w:pPr>
      <w:r>
        <w:rPr>
          <w:rFonts w:ascii="Times New Roman" w:cs="Times New Roman" w:eastAsia="Times New Roman" w:hAnsi="Times New Roman"/>
          <w:sz w:val="20"/>
          <w:szCs w:val="20"/>
          <w:color w:val="auto"/>
        </w:rPr>
        <w:t>Plan Name:</w:t>
      </w:r>
      <w:r>
        <w:rPr>
          <w:sz w:val="20"/>
          <w:szCs w:val="20"/>
          <w:color w:val="auto"/>
        </w:rPr>
        <w:tab/>
      </w:r>
      <w:r>
        <w:rPr>
          <w:rFonts w:ascii="Times New Roman" w:cs="Times New Roman" w:eastAsia="Times New Roman" w:hAnsi="Times New Roman"/>
          <w:sz w:val="19"/>
          <w:szCs w:val="19"/>
          <w:color w:val="auto"/>
        </w:rPr>
        <w:t>Cytek Biosciences, Inc. Second Amended and Restated Severance Benefit Plan</w:t>
      </w:r>
    </w:p>
    <w:p>
      <w:pPr>
        <w:spacing w:after="0" w:line="256" w:lineRule="exact"/>
        <w:rPr>
          <w:sz w:val="20"/>
          <w:szCs w:val="20"/>
          <w:color w:val="auto"/>
        </w:rPr>
      </w:pPr>
    </w:p>
    <w:p>
      <w:pPr>
        <w:ind w:left="620"/>
        <w:spacing w:after="0"/>
        <w:tabs>
          <w:tab w:leader="none" w:pos="1900" w:val="left"/>
        </w:tabs>
        <w:rPr>
          <w:sz w:val="20"/>
          <w:szCs w:val="20"/>
          <w:color w:val="auto"/>
        </w:rPr>
      </w:pPr>
      <w:r>
        <w:rPr>
          <w:rFonts w:ascii="Times New Roman" w:cs="Times New Roman" w:eastAsia="Times New Roman" w:hAnsi="Times New Roman"/>
          <w:sz w:val="20"/>
          <w:szCs w:val="20"/>
          <w:color w:val="auto"/>
        </w:rPr>
        <w:t>Plan Sponsor:</w:t>
      </w:r>
      <w:r>
        <w:rPr>
          <w:sz w:val="20"/>
          <w:szCs w:val="20"/>
          <w:color w:val="auto"/>
        </w:rPr>
        <w:tab/>
      </w:r>
      <w:r>
        <w:rPr>
          <w:rFonts w:ascii="Times New Roman" w:cs="Times New Roman" w:eastAsia="Times New Roman" w:hAnsi="Times New Roman"/>
          <w:sz w:val="19"/>
          <w:szCs w:val="19"/>
          <w:color w:val="auto"/>
        </w:rPr>
        <w:t>Cytek Biosciences, Inc.</w:t>
      </w:r>
    </w:p>
    <w:p>
      <w:pPr>
        <w:ind w:left="2480"/>
        <w:spacing w:after="0" w:line="219" w:lineRule="auto"/>
        <w:rPr>
          <w:sz w:val="20"/>
          <w:szCs w:val="20"/>
          <w:color w:val="auto"/>
        </w:rPr>
      </w:pPr>
      <w:r>
        <w:rPr>
          <w:rFonts w:ascii="Times New Roman" w:cs="Times New Roman" w:eastAsia="Times New Roman" w:hAnsi="Times New Roman"/>
          <w:sz w:val="20"/>
          <w:szCs w:val="20"/>
          <w:color w:val="auto"/>
        </w:rPr>
        <w:t>47215 Lakeview Blvd.</w:t>
      </w:r>
    </w:p>
    <w:p>
      <w:pPr>
        <w:ind w:left="2480"/>
        <w:spacing w:after="0" w:line="212" w:lineRule="auto"/>
        <w:rPr>
          <w:sz w:val="20"/>
          <w:szCs w:val="20"/>
          <w:color w:val="auto"/>
        </w:rPr>
      </w:pPr>
      <w:r>
        <w:rPr>
          <w:rFonts w:ascii="Times New Roman" w:cs="Times New Roman" w:eastAsia="Times New Roman" w:hAnsi="Times New Roman"/>
          <w:sz w:val="20"/>
          <w:szCs w:val="20"/>
          <w:color w:val="auto"/>
        </w:rPr>
        <w:t>Fremont, California 94538</w:t>
      </w:r>
    </w:p>
    <w:p>
      <w:pPr>
        <w:ind w:left="2480"/>
        <w:spacing w:after="0"/>
        <w:rPr>
          <w:sz w:val="20"/>
          <w:szCs w:val="20"/>
          <w:color w:val="auto"/>
        </w:rPr>
      </w:pPr>
      <w:r>
        <w:rPr>
          <w:rFonts w:ascii="Times New Roman" w:cs="Times New Roman" w:eastAsia="Times New Roman" w:hAnsi="Times New Roman"/>
          <w:sz w:val="20"/>
          <w:szCs w:val="20"/>
          <w:color w:val="auto"/>
        </w:rPr>
        <w:t>(877) 922-9835</w:t>
      </w:r>
    </w:p>
    <w:p>
      <w:pPr>
        <w:sectPr>
          <w:pgSz w:w="11900" w:h="16838" w:orient="portrait"/>
          <w:cols w:equalWidth="0" w:num="1">
            <w:col w:w="11120"/>
          </w:cols>
          <w:pgMar w:left="440" w:top="1440" w:right="339" w:bottom="1440" w:gutter="0" w:footer="0" w:header="0"/>
        </w:sectPr>
      </w:pP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Identification Numbers: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EIN: 47-2547526</w:t>
      </w:r>
    </w:p>
    <w:p>
      <w:pPr>
        <w:spacing w:after="0" w:line="200" w:lineRule="exact"/>
        <w:rPr>
          <w:sz w:val="20"/>
          <w:szCs w:val="20"/>
          <w:color w:val="auto"/>
        </w:rPr>
      </w:pPr>
    </w:p>
    <w:p>
      <w:pPr>
        <w:sectPr>
          <w:pgSz w:w="11900" w:h="16838" w:orient="portrait"/>
          <w:cols w:equalWidth="0" w:num="2">
            <w:col w:w="2520" w:space="440"/>
            <w:col w:w="8160"/>
          </w:cols>
          <w:pgMar w:left="440" w:top="1440" w:right="339" w:bottom="1440" w:gutter="0" w:footer="0" w:header="0"/>
          <w:type w:val="continuous"/>
        </w:sectPr>
      </w:pPr>
    </w:p>
    <w:p>
      <w:pPr>
        <w:spacing w:after="0" w:line="68" w:lineRule="exact"/>
        <w:rPr>
          <w:sz w:val="20"/>
          <w:szCs w:val="20"/>
          <w:color w:val="auto"/>
        </w:rPr>
      </w:pPr>
    </w:p>
    <w:p>
      <w:pPr>
        <w:ind w:left="620"/>
        <w:spacing w:after="0"/>
        <w:tabs>
          <w:tab w:leader="none" w:pos="1620" w:val="left"/>
        </w:tabs>
        <w:rPr>
          <w:sz w:val="20"/>
          <w:szCs w:val="20"/>
          <w:color w:val="auto"/>
        </w:rPr>
      </w:pPr>
      <w:r>
        <w:rPr>
          <w:rFonts w:ascii="Times New Roman" w:cs="Times New Roman" w:eastAsia="Times New Roman" w:hAnsi="Times New Roman"/>
          <w:sz w:val="20"/>
          <w:szCs w:val="20"/>
          <w:color w:val="auto"/>
        </w:rPr>
        <w:t>Plan Year:</w:t>
      </w:r>
      <w:r>
        <w:rPr>
          <w:sz w:val="20"/>
          <w:szCs w:val="20"/>
          <w:color w:val="auto"/>
        </w:rPr>
        <w:tab/>
      </w:r>
      <w:r>
        <w:rPr>
          <w:rFonts w:ascii="Times New Roman" w:cs="Times New Roman" w:eastAsia="Times New Roman" w:hAnsi="Times New Roman"/>
          <w:sz w:val="19"/>
          <w:szCs w:val="19"/>
          <w:color w:val="auto"/>
        </w:rPr>
        <w:t>Company’s fiscal year ending December 31</w:t>
      </w:r>
    </w:p>
    <w:p>
      <w:pPr>
        <w:spacing w:after="0" w:line="243" w:lineRule="exact"/>
        <w:rPr>
          <w:sz w:val="20"/>
          <w:szCs w:val="20"/>
          <w:color w:val="auto"/>
        </w:rPr>
      </w:pPr>
    </w:p>
    <w:p>
      <w:pPr>
        <w:ind w:left="620"/>
        <w:spacing w:after="0"/>
        <w:tabs>
          <w:tab w:leader="none" w:pos="2360" w:val="left"/>
        </w:tabs>
        <w:rPr>
          <w:sz w:val="20"/>
          <w:szCs w:val="20"/>
          <w:color w:val="auto"/>
        </w:rPr>
      </w:pPr>
      <w:r>
        <w:rPr>
          <w:rFonts w:ascii="Times New Roman" w:cs="Times New Roman" w:eastAsia="Times New Roman" w:hAnsi="Times New Roman"/>
          <w:sz w:val="20"/>
          <w:szCs w:val="20"/>
          <w:color w:val="auto"/>
        </w:rPr>
        <w:t>Plan Administrator:</w:t>
      </w:r>
      <w:r>
        <w:rPr>
          <w:sz w:val="20"/>
          <w:szCs w:val="20"/>
          <w:color w:val="auto"/>
        </w:rPr>
        <w:tab/>
      </w:r>
      <w:r>
        <w:rPr>
          <w:rFonts w:ascii="Times New Roman" w:cs="Times New Roman" w:eastAsia="Times New Roman" w:hAnsi="Times New Roman"/>
          <w:sz w:val="19"/>
          <w:szCs w:val="19"/>
          <w:color w:val="auto"/>
        </w:rPr>
        <w:t>Cytek Biosciences, Inc.</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Attention: Administrator of the Cytek Biosciences, Inc. Second Amended and Restated Severance</w:t>
      </w:r>
    </w:p>
    <w:p>
      <w:pPr>
        <w:ind w:left="2800"/>
        <w:spacing w:after="0" w:line="197" w:lineRule="auto"/>
        <w:rPr>
          <w:sz w:val="20"/>
          <w:szCs w:val="20"/>
          <w:color w:val="auto"/>
        </w:rPr>
      </w:pPr>
      <w:r>
        <w:rPr>
          <w:rFonts w:ascii="Times New Roman" w:cs="Times New Roman" w:eastAsia="Times New Roman" w:hAnsi="Times New Roman"/>
          <w:sz w:val="20"/>
          <w:szCs w:val="20"/>
          <w:color w:val="auto"/>
        </w:rPr>
        <w:t>Benefit Plan</w:t>
      </w:r>
    </w:p>
    <w:p>
      <w:pPr>
        <w:ind w:left="2480"/>
        <w:spacing w:after="0"/>
        <w:rPr>
          <w:sz w:val="20"/>
          <w:szCs w:val="20"/>
          <w:color w:val="auto"/>
        </w:rPr>
      </w:pPr>
      <w:r>
        <w:rPr>
          <w:rFonts w:ascii="Times New Roman" w:cs="Times New Roman" w:eastAsia="Times New Roman" w:hAnsi="Times New Roman"/>
          <w:sz w:val="20"/>
          <w:szCs w:val="20"/>
          <w:color w:val="auto"/>
        </w:rPr>
        <w:t>47215 Lakeview Blvd.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20"/>
          </w:cols>
          <w:pgMar w:left="440" w:top="1440" w:right="339" w:bottom="1440" w:gutter="0" w:footer="0" w:header="0"/>
          <w:type w:val="continuous"/>
        </w:sectPr>
      </w:pPr>
    </w:p>
    <w:bookmarkStart w:id="106" w:name="page107"/>
    <w:bookmarkEnd w:id="106"/>
    <w:p>
      <w:pPr>
        <w:ind w:left="2480"/>
        <w:spacing w:after="0"/>
        <w:rPr>
          <w:sz w:val="20"/>
          <w:szCs w:val="20"/>
          <w:color w:val="auto"/>
        </w:rPr>
      </w:pPr>
      <w:r>
        <w:rPr>
          <w:rFonts w:ascii="Times New Roman" w:cs="Times New Roman" w:eastAsia="Times New Roman" w:hAnsi="Times New Roman"/>
          <w:sz w:val="20"/>
          <w:szCs w:val="20"/>
          <w:color w:val="auto"/>
        </w:rPr>
        <w:t>Fremont, California 94538</w:t>
      </w:r>
    </w:p>
    <w:p>
      <w:pPr>
        <w:ind w:left="2480"/>
        <w:spacing w:after="0"/>
        <w:rPr>
          <w:sz w:val="20"/>
          <w:szCs w:val="20"/>
          <w:color w:val="auto"/>
        </w:rPr>
      </w:pPr>
      <w:r>
        <w:rPr>
          <w:rFonts w:ascii="Times New Roman" w:cs="Times New Roman" w:eastAsia="Times New Roman" w:hAnsi="Times New Roman"/>
          <w:sz w:val="20"/>
          <w:szCs w:val="20"/>
          <w:color w:val="auto"/>
        </w:rPr>
        <w:t>(877) 922-9835</w:t>
      </w:r>
    </w:p>
    <w:p>
      <w:pPr>
        <w:spacing w:after="0" w:line="207" w:lineRule="exact"/>
        <w:rPr>
          <w:sz w:val="20"/>
          <w:szCs w:val="20"/>
          <w:color w:val="auto"/>
        </w:rPr>
      </w:pPr>
    </w:p>
    <w:p>
      <w:pPr>
        <w:ind w:left="620"/>
        <w:spacing w:after="0"/>
        <w:tabs>
          <w:tab w:leader="none" w:pos="2420" w:val="left"/>
        </w:tabs>
        <w:rPr>
          <w:sz w:val="20"/>
          <w:szCs w:val="20"/>
          <w:color w:val="auto"/>
        </w:rPr>
      </w:pPr>
      <w:r>
        <w:rPr>
          <w:rFonts w:ascii="Times New Roman" w:cs="Times New Roman" w:eastAsia="Times New Roman" w:hAnsi="Times New Roman"/>
          <w:sz w:val="20"/>
          <w:szCs w:val="20"/>
          <w:color w:val="auto"/>
        </w:rPr>
        <w:t>Agent for Service of</w:t>
      </w:r>
      <w:r>
        <w:rPr>
          <w:sz w:val="20"/>
          <w:szCs w:val="20"/>
          <w:color w:val="auto"/>
        </w:rPr>
        <w:tab/>
      </w:r>
      <w:r>
        <w:rPr>
          <w:rFonts w:ascii="Times New Roman" w:cs="Times New Roman" w:eastAsia="Times New Roman" w:hAnsi="Times New Roman"/>
          <w:sz w:val="19"/>
          <w:szCs w:val="19"/>
          <w:color w:val="auto"/>
        </w:rPr>
        <w:t>Cytek Biosciences, Inc.</w:t>
      </w:r>
    </w:p>
    <w:p>
      <w:pPr>
        <w:spacing w:after="0" w:line="21" w:lineRule="exact"/>
        <w:rPr>
          <w:sz w:val="20"/>
          <w:szCs w:val="20"/>
          <w:color w:val="auto"/>
        </w:rPr>
      </w:pPr>
    </w:p>
    <w:p>
      <w:pPr>
        <w:ind w:left="620"/>
        <w:spacing w:after="0"/>
        <w:tabs>
          <w:tab w:leader="none" w:pos="1940" w:val="left"/>
        </w:tabs>
        <w:rPr>
          <w:sz w:val="20"/>
          <w:szCs w:val="20"/>
          <w:color w:val="auto"/>
        </w:rPr>
      </w:pPr>
      <w:r>
        <w:rPr>
          <w:rFonts w:ascii="Times New Roman" w:cs="Times New Roman" w:eastAsia="Times New Roman" w:hAnsi="Times New Roman"/>
          <w:sz w:val="20"/>
          <w:szCs w:val="20"/>
          <w:color w:val="auto"/>
        </w:rPr>
        <w:t>Legal Process:</w:t>
      </w:r>
      <w:r>
        <w:rPr>
          <w:sz w:val="20"/>
          <w:szCs w:val="20"/>
          <w:color w:val="auto"/>
        </w:rPr>
        <w:tab/>
      </w:r>
      <w:r>
        <w:rPr>
          <w:rFonts w:ascii="Times New Roman" w:cs="Times New Roman" w:eastAsia="Times New Roman" w:hAnsi="Times New Roman"/>
          <w:sz w:val="19"/>
          <w:szCs w:val="19"/>
          <w:color w:val="auto"/>
        </w:rPr>
        <w:t>Attention: Administrator of the Cytek Biosciences, Inc. Second Amended and Restated Severance Benefit Plan</w:t>
      </w:r>
    </w:p>
    <w:p>
      <w:pPr>
        <w:ind w:left="2480"/>
        <w:spacing w:after="0" w:line="211" w:lineRule="auto"/>
        <w:rPr>
          <w:sz w:val="20"/>
          <w:szCs w:val="20"/>
          <w:color w:val="auto"/>
        </w:rPr>
      </w:pPr>
      <w:r>
        <w:rPr>
          <w:rFonts w:ascii="Times New Roman" w:cs="Times New Roman" w:eastAsia="Times New Roman" w:hAnsi="Times New Roman"/>
          <w:sz w:val="20"/>
          <w:szCs w:val="20"/>
          <w:color w:val="auto"/>
        </w:rPr>
        <w:t>47215 Lakeview Blvd.</w:t>
      </w:r>
    </w:p>
    <w:p>
      <w:pPr>
        <w:ind w:left="2480"/>
        <w:spacing w:after="0" w:line="211" w:lineRule="auto"/>
        <w:rPr>
          <w:sz w:val="20"/>
          <w:szCs w:val="20"/>
          <w:color w:val="auto"/>
        </w:rPr>
      </w:pPr>
      <w:r>
        <w:rPr>
          <w:rFonts w:ascii="Times New Roman" w:cs="Times New Roman" w:eastAsia="Times New Roman" w:hAnsi="Times New Roman"/>
          <w:sz w:val="20"/>
          <w:szCs w:val="20"/>
          <w:color w:val="auto"/>
        </w:rPr>
        <w:t>Fremont, California 94538</w:t>
      </w:r>
    </w:p>
    <w:p>
      <w:pPr>
        <w:spacing w:after="0" w:line="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color w:val="auto"/>
        </w:rPr>
        <w:t>(877) 922-9835</w:t>
      </w:r>
    </w:p>
    <w:p>
      <w:pPr>
        <w:spacing w:after="0" w:line="4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Service of process may also be made upon the Administrator.</w:t>
      </w:r>
    </w:p>
    <w:p>
      <w:pPr>
        <w:spacing w:after="0" w:line="216"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20"/>
          <w:szCs w:val="20"/>
          <w:color w:val="auto"/>
        </w:rPr>
        <w:t>Type of Plan:</w:t>
      </w:r>
      <w:r>
        <w:rPr>
          <w:sz w:val="20"/>
          <w:szCs w:val="20"/>
          <w:color w:val="auto"/>
        </w:rPr>
        <w:tab/>
      </w:r>
      <w:r>
        <w:rPr>
          <w:rFonts w:ascii="Times New Roman" w:cs="Times New Roman" w:eastAsia="Times New Roman" w:hAnsi="Times New Roman"/>
          <w:sz w:val="19"/>
          <w:szCs w:val="19"/>
          <w:color w:val="auto"/>
        </w:rPr>
        <w:t>Severance Plan/Employee Welfare Benefit Plan</w:t>
      </w:r>
    </w:p>
    <w:p>
      <w:pPr>
        <w:spacing w:after="0" w:line="229" w:lineRule="exact"/>
        <w:rPr>
          <w:sz w:val="20"/>
          <w:szCs w:val="20"/>
          <w:color w:val="auto"/>
        </w:rPr>
      </w:pPr>
    </w:p>
    <w:p>
      <w:pPr>
        <w:ind w:left="620"/>
        <w:spacing w:after="0"/>
        <w:tabs>
          <w:tab w:leader="none" w:pos="1680" w:val="left"/>
        </w:tabs>
        <w:rPr>
          <w:sz w:val="20"/>
          <w:szCs w:val="20"/>
          <w:color w:val="auto"/>
        </w:rPr>
      </w:pPr>
      <w:r>
        <w:rPr>
          <w:rFonts w:ascii="Times New Roman" w:cs="Times New Roman" w:eastAsia="Times New Roman" w:hAnsi="Times New Roman"/>
          <w:sz w:val="20"/>
          <w:szCs w:val="20"/>
          <w:color w:val="auto"/>
        </w:rPr>
        <w:t>Plan Costs:</w:t>
      </w:r>
      <w:r>
        <w:rPr>
          <w:sz w:val="20"/>
          <w:szCs w:val="20"/>
          <w:color w:val="auto"/>
        </w:rPr>
        <w:tab/>
      </w:r>
      <w:r>
        <w:rPr>
          <w:rFonts w:ascii="Times New Roman" w:cs="Times New Roman" w:eastAsia="Times New Roman" w:hAnsi="Times New Roman"/>
          <w:sz w:val="19"/>
          <w:szCs w:val="19"/>
          <w:color w:val="auto"/>
        </w:rPr>
        <w:t>The cost of the Plan is paid by the Company.</w:t>
      </w:r>
    </w:p>
    <w:p>
      <w:pPr>
        <w:spacing w:after="0" w:line="148" w:lineRule="exact"/>
        <w:rPr>
          <w:sz w:val="20"/>
          <w:szCs w:val="20"/>
          <w:color w:val="auto"/>
        </w:rPr>
      </w:pPr>
    </w:p>
    <w:p>
      <w:pPr>
        <w:ind w:left="1280" w:hanging="636"/>
        <w:spacing w:after="0"/>
        <w:tabs>
          <w:tab w:leader="none" w:pos="12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Statement of ERISA Rights</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As a Covered Employee under the Plan, you have certain rights and protections under ERISA:</w:t>
      </w:r>
    </w:p>
    <w:p>
      <w:pPr>
        <w:spacing w:after="0" w:line="121" w:lineRule="exact"/>
        <w:rPr>
          <w:sz w:val="20"/>
          <w:szCs w:val="20"/>
          <w:color w:val="auto"/>
        </w:rPr>
      </w:pPr>
    </w:p>
    <w:p>
      <w:pPr>
        <w:ind w:right="20" w:firstLine="1291"/>
        <w:spacing w:after="0" w:line="283" w:lineRule="auto"/>
        <w:tabs>
          <w:tab w:leader="none" w:pos="182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examine (without charge) all Plan documents, including any amendments and copies of all documents filed with the U.S. Department of Labor. These documents are available for your review at the Company.</w:t>
      </w:r>
    </w:p>
    <w:p>
      <w:pPr>
        <w:spacing w:after="0" w:line="38" w:lineRule="exact"/>
        <w:rPr>
          <w:rFonts w:ascii="Times New Roman" w:cs="Times New Roman" w:eastAsia="Times New Roman" w:hAnsi="Times New Roman"/>
          <w:sz w:val="20"/>
          <w:szCs w:val="20"/>
          <w:color w:val="auto"/>
        </w:rPr>
      </w:pPr>
    </w:p>
    <w:p>
      <w:pPr>
        <w:ind w:firstLine="1291"/>
        <w:spacing w:after="0" w:line="283" w:lineRule="auto"/>
        <w:tabs>
          <w:tab w:leader="none" w:pos="182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obtain copies of all Plan documents and other Plan information upon written request to the Administrator. A reasonable charge may be made for such copies.</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In addition to creating rights for Covered Employees, ERISA imposes duties upon the people who are responsible for the operation of the Plan. The people who operate the Plan (called “</w:t>
      </w:r>
      <w:r>
        <w:rPr>
          <w:rFonts w:ascii="Times New Roman" w:cs="Times New Roman" w:eastAsia="Times New Roman" w:hAnsi="Times New Roman"/>
          <w:sz w:val="19"/>
          <w:szCs w:val="19"/>
          <w:u w:val="single" w:color="auto"/>
          <w:color w:val="auto"/>
        </w:rPr>
        <w:t>fiduciaries</w:t>
      </w:r>
      <w:r>
        <w:rPr>
          <w:rFonts w:ascii="Times New Roman" w:cs="Times New Roman" w:eastAsia="Times New Roman" w:hAnsi="Times New Roman"/>
          <w:sz w:val="19"/>
          <w:szCs w:val="19"/>
          <w:color w:val="auto"/>
        </w:rPr>
        <w:t>”) have a duty to do so prudently and in the interests of you and the other Covered Employees. No one, including the Company or any other person, may fire you or otherwise discriminate against you in any way to prevent you from obtaining a benefit under the Plan or exercising your rights under ERISA. If your claim for a severance benefit is denied, in whole or in part, you have a right to know why it was denied, to obtain copies of documents relating to the decision without charge, and to appeal any denial, all within certain time schedules. The claim review procedure is explained in Section 12 and Section 13 above.</w:t>
      </w:r>
    </w:p>
    <w:p>
      <w:pPr>
        <w:spacing w:after="0" w:line="1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Under ERISA, there are steps you can take to enforce the above rights. For instance, if you request a copy of Plan documents and do not receive them within 30 days, you may file suit in a federal court. In such a case, the court may require the Administrator to provide the materials and to pay you up to $110 a day until you receive the materials, unless the materials were not sent because of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20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you have any questions regarding the Plan, please contact the Administrator. If you have any questions about this statement or about your rights under ERISA, you may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 at 1-866-444-3272.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20"/>
          </w:cols>
          <w:pgMar w:left="440" w:top="1421" w:right="339" w:bottom="1440" w:gutter="0" w:footer="0" w:header="0"/>
        </w:sectPr>
      </w:pPr>
    </w:p>
    <w:bookmarkStart w:id="107" w:name="page108"/>
    <w:bookmarkEnd w:id="107"/>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 * * *</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9019"/>
          </w:cols>
          <w:pgMar w:left="1440" w:top="1440" w:right="1440" w:bottom="1440" w:gutter="0" w:footer="0" w:header="0"/>
          <w:type w:val="continuous"/>
        </w:sectPr>
      </w:pPr>
    </w:p>
    <w:bookmarkStart w:id="108" w:name="page109"/>
    <w:bookmarkEnd w:id="108"/>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CYTEK BIOSCIENCES,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SEVERANCE BENEFIT PLAN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Participation Agreement</w:t>
      </w:r>
    </w:p>
    <w:p>
      <w:pPr>
        <w:spacing w:after="0" w:line="337"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0"/>
          <w:szCs w:val="20"/>
          <w:color w:val="auto"/>
        </w:rPr>
        <w:t>Cytek Biosciences,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pleased to inform you, [</w:t>
      </w:r>
      <w:r>
        <w:rPr>
          <w:rFonts w:ascii="Times New Roman" w:cs="Times New Roman" w:eastAsia="Times New Roman" w:hAnsi="Times New Roman"/>
          <w:sz w:val="20"/>
          <w:szCs w:val="20"/>
          <w:i w:val="1"/>
          <w:iCs w:val="1"/>
          <w:color w:val="auto"/>
          <w:highlight w:val="yellow"/>
        </w:rPr>
        <w:t>name</w:t>
      </w:r>
      <w:r>
        <w:rPr>
          <w:rFonts w:ascii="Times New Roman" w:cs="Times New Roman" w:eastAsia="Times New Roman" w:hAnsi="Times New Roman"/>
          <w:sz w:val="20"/>
          <w:szCs w:val="20"/>
          <w:color w:val="auto"/>
        </w:rPr>
        <w:t>], that you have been selected to participate in the Company’s Second Amended and Restated Severance Benefit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as a Covered Employee. 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spacing w:after="0" w:line="209"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In order to become a Covered Employee under the Plan, you must complete and sign this Participation Agreement and return it to [</w:t>
      </w:r>
      <w:r>
        <w:rPr>
          <w:rFonts w:ascii="Times New Roman" w:cs="Times New Roman" w:eastAsia="Times New Roman" w:hAnsi="Times New Roman"/>
          <w:sz w:val="20"/>
          <w:szCs w:val="20"/>
          <w:i w:val="1"/>
          <w:iCs w:val="1"/>
          <w:color w:val="auto"/>
          <w:highlight w:val="yellow"/>
        </w:rPr>
        <w:t>name</w:t>
      </w:r>
      <w:r>
        <w:rPr>
          <w:rFonts w:ascii="Times New Roman" w:cs="Times New Roman" w:eastAsia="Times New Roman" w:hAnsi="Times New Roman"/>
          <w:sz w:val="20"/>
          <w:szCs w:val="20"/>
          <w:color w:val="auto"/>
        </w:rPr>
        <w:t>] no later than [</w:t>
      </w:r>
      <w:r>
        <w:rPr>
          <w:rFonts w:ascii="Times New Roman" w:cs="Times New Roman" w:eastAsia="Times New Roman" w:hAnsi="Times New Roman"/>
          <w:sz w:val="20"/>
          <w:szCs w:val="20"/>
          <w:i w:val="1"/>
          <w:iCs w:val="1"/>
          <w:color w:val="auto"/>
          <w:highlight w:val="yellow"/>
        </w:rPr>
        <w:t>date</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The Plan describes in detail certain circumstances under which you may become eligible for Severance Benefits and the amount of those benefits. As described more fully in the Plan, you may become eligible for certain Severance Benefits if you experience a Covered Termination.</w:t>
      </w:r>
    </w:p>
    <w:p>
      <w:pPr>
        <w:spacing w:after="0" w:line="208" w:lineRule="exact"/>
        <w:rPr>
          <w:sz w:val="20"/>
          <w:szCs w:val="20"/>
          <w:color w:val="auto"/>
        </w:rPr>
      </w:pPr>
    </w:p>
    <w:p>
      <w:pPr>
        <w:jc w:val="both"/>
        <w:ind w:right="40" w:firstLine="647"/>
        <w:spacing w:after="0" w:line="261" w:lineRule="auto"/>
        <w:rPr>
          <w:sz w:val="20"/>
          <w:szCs w:val="20"/>
          <w:color w:val="auto"/>
        </w:rPr>
      </w:pPr>
      <w:r>
        <w:rPr>
          <w:rFonts w:ascii="Times New Roman" w:cs="Times New Roman" w:eastAsia="Times New Roman" w:hAnsi="Times New Roman"/>
          <w:sz w:val="20"/>
          <w:szCs w:val="20"/>
          <w:color w:val="auto"/>
        </w:rPr>
        <w:t>In order to receive any Severance Benefits for which you otherwise become eligible under the Plan, you must sign and deliver to the Company the Release, which must have become effective and irrevocable, and otherwise comply with the requirements under Section 6.1 of the Plan.</w:t>
      </w:r>
    </w:p>
    <w:p>
      <w:pPr>
        <w:spacing w:after="0" w:line="222"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20"/>
          <w:szCs w:val="20"/>
          <w:color w:val="auto"/>
        </w:rPr>
        <w:t>In accordance with Section 7 of the Plan, the benefits, if any, provided under the Plan are intended to be the exclusive benefits for you related to your termination of employment with the Company and/or a change in control of the Company and will supersede and replace any severance and/or change in control benefits to which you otherwise would eligible to participate in any other Company severance and/or change in control policy, plan, agreement or other arrangement (whether or not subject to ERISA).</w:t>
      </w:r>
    </w:p>
    <w:p>
      <w:pPr>
        <w:spacing w:after="0" w:line="228"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By your signature below, you and the Company agree that your participation in the Plan is governed by this Participation Agreement and the provisions of the Plan. Your signature below confirms that: (i) you have received a copy of the Plan; (ii) you have carefully read this Participation Agreement and the Plan and you acknowledge and agree to its terms, including, but not limited to, Section 7 of the Plan; and (iii) decisions and determinations by the Administrator under the Plan will be final and binding on you and your successors.</w:t>
      </w:r>
    </w:p>
    <w:p>
      <w:pPr>
        <w:spacing w:after="0" w:line="215" w:lineRule="exact"/>
        <w:rPr>
          <w:sz w:val="20"/>
          <w:szCs w:val="20"/>
          <w:color w:val="auto"/>
        </w:rPr>
      </w:pPr>
    </w:p>
    <w:p>
      <w:pPr>
        <w:ind w:left="100"/>
        <w:spacing w:after="0"/>
        <w:tabs>
          <w:tab w:leader="none" w:pos="2880" w:val="left"/>
        </w:tabs>
        <w:rPr>
          <w:sz w:val="20"/>
          <w:szCs w:val="20"/>
          <w:color w:val="auto"/>
        </w:rPr>
      </w:pPr>
      <w:r>
        <w:rPr>
          <w:rFonts w:ascii="Times New Roman" w:cs="Times New Roman" w:eastAsia="Times New Roman" w:hAnsi="Times New Roman"/>
          <w:sz w:val="20"/>
          <w:szCs w:val="20"/>
          <w:b w:val="1"/>
          <w:bCs w:val="1"/>
          <w:color w:val="auto"/>
        </w:rPr>
        <w:t>CYTEK BIOSCIENCES, INC.</w:t>
      </w:r>
      <w:r>
        <w:rPr>
          <w:sz w:val="20"/>
          <w:szCs w:val="20"/>
          <w:color w:val="auto"/>
        </w:rPr>
        <w:tab/>
      </w:r>
      <w:r>
        <w:rPr>
          <w:rFonts w:ascii="Times New Roman" w:cs="Times New Roman" w:eastAsia="Times New Roman" w:hAnsi="Times New Roman"/>
          <w:sz w:val="19"/>
          <w:szCs w:val="19"/>
          <w:b w:val="1"/>
          <w:bCs w:val="1"/>
          <w:color w:val="auto"/>
        </w:rPr>
        <w:t>COVERED EMPLOYEE</w:t>
      </w:r>
    </w:p>
    <w:p>
      <w:pPr>
        <w:sectPr>
          <w:pgSz w:w="11900" w:h="16838" w:orient="portrait"/>
          <w:cols w:equalWidth="0" w:num="1">
            <w:col w:w="11020"/>
          </w:cols>
          <w:pgMar w:left="440" w:top="1440" w:right="439" w:bottom="1440" w:gutter="0" w:footer="0" w:header="0"/>
        </w:sectPr>
      </w:pPr>
    </w:p>
    <w:bookmarkStart w:id="109" w:name="page110"/>
    <w:bookmarkEnd w:id="109"/>
    <w:p>
      <w:pPr>
        <w:spacing w:after="0" w:line="203" w:lineRule="exact"/>
        <w:rPr>
          <w:sz w:val="20"/>
          <w:szCs w:val="20"/>
          <w:color w:val="auto"/>
        </w:rPr>
      </w:pPr>
    </w:p>
    <w:p>
      <w:pPr>
        <w:jc w:val="both"/>
        <w:ind w:left="2200"/>
        <w:spacing w:after="0"/>
        <w:tabs>
          <w:tab w:leader="none" w:pos="780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Signature</w:t>
      </w:r>
    </w:p>
    <w:p>
      <w:pPr>
        <w:spacing w:after="0" w:line="256" w:lineRule="exact"/>
        <w:rPr>
          <w:sz w:val="20"/>
          <w:szCs w:val="20"/>
          <w:color w:val="auto"/>
        </w:rPr>
      </w:pPr>
    </w:p>
    <w:p>
      <w:pPr>
        <w:ind w:left="100"/>
        <w:spacing w:after="0"/>
        <w:tabs>
          <w:tab w:leader="none" w:pos="53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-2540</wp:posOffset>
            </wp:positionV>
            <wp:extent cx="1568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-10795</wp:posOffset>
            </wp:positionV>
            <wp:extent cx="1568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20"/>
          <w:szCs w:val="20"/>
          <w:color w:val="auto"/>
        </w:rPr>
        <w:t>Title:</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-10795</wp:posOffset>
            </wp:positionV>
            <wp:extent cx="1257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-10795</wp:posOffset>
            </wp:positionV>
            <wp:extent cx="156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317"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20"/>
          <w:szCs w:val="20"/>
          <w:color w:val="auto"/>
        </w:rPr>
        <w:t>Date:</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1568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-10795</wp:posOffset>
            </wp:positionV>
            <wp:extent cx="1568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 Cytek Biosciences, Inc. Second Amended and Restated Severance Benefit Plan</w:t>
      </w:r>
    </w:p>
    <w:p>
      <w:pPr>
        <w:sectPr>
          <w:pgSz w:w="11900" w:h="16838" w:orient="portrait"/>
          <w:cols w:equalWidth="0" w:num="1">
            <w:col w:w="10019"/>
          </w:cols>
          <w:pgMar w:left="440" w:top="1440" w:right="144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Wenbin Jiang, Ph.D., certify that:</w:t>
      </w:r>
    </w:p>
    <w:p>
      <w:pPr>
        <w:spacing w:after="0" w:line="252"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7" w:lineRule="exact"/>
        <w:rPr>
          <w:rFonts w:ascii="Times New Roman" w:cs="Times New Roman" w:eastAsia="Times New Roman" w:hAnsi="Times New Roman"/>
          <w:sz w:val="18"/>
          <w:szCs w:val="18"/>
          <w:color w:val="auto"/>
        </w:rPr>
      </w:pPr>
    </w:p>
    <w:p>
      <w:pPr>
        <w:ind w:left="260" w:right="20" w:hanging="252"/>
        <w:spacing w:after="0" w:line="265" w:lineRule="auto"/>
        <w:tabs>
          <w:tab w:leader="none" w:pos="2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480" w:hanging="252"/>
        <w:spacing w:after="0" w:line="250" w:lineRule="auto"/>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7" w:lineRule="exact"/>
        <w:rPr>
          <w:rFonts w:ascii="Times New Roman" w:cs="Times New Roman" w:eastAsia="Times New Roman" w:hAnsi="Times New Roman"/>
          <w:sz w:val="18"/>
          <w:szCs w:val="18"/>
          <w:color w:val="auto"/>
        </w:rPr>
      </w:pPr>
    </w:p>
    <w:p>
      <w:pPr>
        <w:ind w:left="1800" w:right="60" w:hanging="820"/>
        <w:spacing w:after="0" w:line="266" w:lineRule="auto"/>
        <w:tabs>
          <w:tab w:leader="none" w:pos="17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380" w:hanging="820"/>
        <w:spacing w:after="0" w:line="266" w:lineRule="auto"/>
        <w:tabs>
          <w:tab w:leader="none" w:pos="178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20" w:hanging="820"/>
        <w:spacing w:after="0" w:line="266" w:lineRule="auto"/>
        <w:tabs>
          <w:tab w:leader="none" w:pos="17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20" w:hanging="820"/>
        <w:spacing w:after="0" w:line="266" w:lineRule="auto"/>
        <w:tabs>
          <w:tab w:leader="none" w:pos="178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right="60" w:hanging="820"/>
        <w:spacing w:after="0" w:line="312" w:lineRule="auto"/>
        <w:tabs>
          <w:tab w:leader="none" w:pos="179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800" w:right="260" w:hanging="820"/>
        <w:spacing w:after="0" w:line="282" w:lineRule="auto"/>
        <w:tabs>
          <w:tab w:leader="none" w:pos="178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16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By:</w:t>
            </w:r>
          </w:p>
        </w:tc>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/s/ Wenbin Jiang, Ph.D.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Wenbin Jiang, Ph.D.</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7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McCombe, certify that:</w:t>
      </w:r>
    </w:p>
    <w:p>
      <w:pPr>
        <w:spacing w:after="0" w:line="252"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7" w:lineRule="exact"/>
        <w:rPr>
          <w:rFonts w:ascii="Times New Roman" w:cs="Times New Roman" w:eastAsia="Times New Roman" w:hAnsi="Times New Roman"/>
          <w:sz w:val="18"/>
          <w:szCs w:val="18"/>
          <w:color w:val="auto"/>
        </w:rPr>
      </w:pPr>
    </w:p>
    <w:p>
      <w:pPr>
        <w:ind w:left="260" w:right="20" w:hanging="252"/>
        <w:spacing w:after="0" w:line="265" w:lineRule="auto"/>
        <w:tabs>
          <w:tab w:leader="none" w:pos="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480" w:hanging="252"/>
        <w:spacing w:after="0" w:line="250"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7" w:lineRule="exact"/>
        <w:rPr>
          <w:rFonts w:ascii="Times New Roman" w:cs="Times New Roman" w:eastAsia="Times New Roman" w:hAnsi="Times New Roman"/>
          <w:sz w:val="18"/>
          <w:szCs w:val="18"/>
          <w:color w:val="auto"/>
        </w:rPr>
      </w:pPr>
    </w:p>
    <w:p>
      <w:pPr>
        <w:ind w:left="1800" w:right="60" w:hanging="820"/>
        <w:spacing w:after="0" w:line="266" w:lineRule="auto"/>
        <w:tabs>
          <w:tab w:leader="none" w:pos="179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380" w:hanging="820"/>
        <w:spacing w:after="0" w:line="266" w:lineRule="auto"/>
        <w:tabs>
          <w:tab w:leader="none" w:pos="178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20" w:hanging="820"/>
        <w:spacing w:after="0" w:line="266" w:lineRule="auto"/>
        <w:tabs>
          <w:tab w:leader="none" w:pos="179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20" w:hanging="820"/>
        <w:spacing w:after="0" w:line="266" w:lineRule="auto"/>
        <w:tabs>
          <w:tab w:leader="none" w:pos="178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right="60" w:hanging="820"/>
        <w:spacing w:after="0" w:line="312" w:lineRule="auto"/>
        <w:tabs>
          <w:tab w:leader="none" w:pos="179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800" w:right="260" w:hanging="820"/>
        <w:spacing w:after="0" w:line="282" w:lineRule="auto"/>
        <w:tabs>
          <w:tab w:leader="none" w:pos="178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20"/>
        <w:spacing w:after="0"/>
        <w:tabs>
          <w:tab w:leader="none" w:pos="3320" w:val="left"/>
          <w:tab w:leader="none" w:pos="40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William McCombe</w:t>
      </w:r>
    </w:p>
    <w:p>
      <w:pPr>
        <w:spacing w:after="0" w:line="3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William McCombe</w:t>
      </w:r>
    </w:p>
    <w:p>
      <w:pPr>
        <w:spacing w:after="0" w:line="3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35"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September 30, 2026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72" w:lineRule="exact"/>
        <w:rPr>
          <w:sz w:val="20"/>
          <w:szCs w:val="20"/>
          <w:color w:val="auto"/>
        </w:rPr>
      </w:pPr>
    </w:p>
    <w:p>
      <w:pPr>
        <w:ind w:left="1620" w:hanging="1045"/>
        <w:spacing w:after="0"/>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620" w:hanging="1045"/>
        <w:spacing w:after="0" w:line="282" w:lineRule="auto"/>
        <w:tabs>
          <w:tab w:leader="none" w:pos="16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20"/>
        <w:spacing w:after="0"/>
        <w:tabs>
          <w:tab w:leader="none" w:pos="3320" w:val="left"/>
          <w:tab w:leader="none" w:pos="40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Wenbin Jiang, Ph.D.</w:t>
      </w:r>
    </w:p>
    <w:p>
      <w:pPr>
        <w:spacing w:after="0" w:line="7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3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113" w:name="page114"/>
    <w:bookmarkEnd w:id="113"/>
    <w:p>
      <w:pPr>
        <w:ind w:left="102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September 30, 2026 as filed with the Securities and Exchange Commission on the date hereof (the “Report”), the undersigned, William McCombe, Chief Financial Officer of the Company, hereby certifies, pursuant to requirements set forth in Rule 13a-14(b) of the Securities Exchange Act of 1934, as amended (the “Exchange Act”), and 18 U.S.C. Section 1350, that to his knowledge:</w:t>
      </w:r>
    </w:p>
    <w:p>
      <w:pPr>
        <w:spacing w:after="0" w:line="72" w:lineRule="exact"/>
        <w:rPr>
          <w:sz w:val="20"/>
          <w:szCs w:val="20"/>
          <w:color w:val="auto"/>
        </w:rPr>
      </w:pPr>
    </w:p>
    <w:p>
      <w:pPr>
        <w:ind w:left="1620" w:hanging="1045"/>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620" w:right="20" w:hanging="1045"/>
        <w:spacing w:after="0" w:line="282" w:lineRule="auto"/>
        <w:tabs>
          <w:tab w:leader="none" w:pos="16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700"/>
        <w:spacing w:after="0"/>
        <w:tabs>
          <w:tab w:leader="none" w:pos="3320" w:val="left"/>
          <w:tab w:leader="none" w:pos="378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William McCombe</w:t>
      </w:r>
    </w:p>
    <w:p>
      <w:pPr>
        <w:spacing w:after="0" w:line="7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William McCombe</w:t>
      </w:r>
    </w:p>
    <w:p>
      <w:pPr>
        <w:spacing w:after="0" w:line="3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decimal"/>
      <w:start w:val="11"/>
    </w:lvl>
  </w:abstractNum>
  <w:abstractNum w:abstractNumId="3">
    <w:nsid w:val="189A769B"/>
    <w:multiLevelType w:val="hybridMultilevel"/>
    <w:lvl w:ilvl="0">
      <w:lvlJc w:val="left"/>
      <w:lvlText w:val="%1."/>
      <w:numFmt w:val="decimal"/>
      <w:start w:val="20"/>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lowerRoman"/>
      <w:start w:val="1"/>
    </w:lvl>
  </w:abstractNum>
  <w:abstractNum w:abstractNumId="32">
    <w:nsid w:val="153EA438"/>
    <w:multiLevelType w:val="hybridMultilevel"/>
    <w:lvl w:ilvl="0">
      <w:lvlJc w:val="left"/>
      <w:lvlText w:val="(%1)"/>
      <w:numFmt w:val="lowerRoman"/>
      <w:start w:val="1"/>
    </w:lvl>
  </w:abstractNum>
  <w:abstractNum w:abstractNumId="33">
    <w:nsid w:val="3855585C"/>
    <w:multiLevelType w:val="hybridMultilevel"/>
    <w:lvl w:ilvl="0">
      <w:lvlJc w:val="left"/>
      <w:lvlText w:val="%1."/>
      <w:numFmt w:val="decimal"/>
      <w:start w:val="3"/>
    </w:lvl>
  </w:abstractNum>
  <w:abstractNum w:abstractNumId="34">
    <w:nsid w:val="70A64E2A"/>
    <w:multiLevelType w:val="hybridMultilevel"/>
    <w:lvl w:ilvl="0">
      <w:lvlJc w:val="left"/>
      <w:lvlText w:val="%1."/>
      <w:numFmt w:val="decimal"/>
      <w:start w:val="5"/>
    </w:lvl>
  </w:abstractNum>
  <w:abstractNum w:abstractNumId="35">
    <w:nsid w:val="6A2342EC"/>
    <w:multiLevelType w:val="hybridMultilevel"/>
    <w:lvl w:ilvl="0">
      <w:lvlJc w:val="left"/>
      <w:lvlText w:val="(%1)"/>
      <w:numFmt w:val="lowerRoman"/>
      <w:start w:val="1"/>
    </w:lvl>
  </w:abstractNum>
  <w:abstractNum w:abstractNumId="36">
    <w:nsid w:val="2A487CB0"/>
    <w:multiLevelType w:val="hybridMultilevel"/>
    <w:lvl w:ilvl="0">
      <w:lvlJc w:val="left"/>
      <w:lvlText w:val="(%1)"/>
      <w:numFmt w:val="lowerRoman"/>
      <w:start w:val="2"/>
    </w:lvl>
  </w:abstractNum>
  <w:abstractNum w:abstractNumId="37">
    <w:nsid w:val="1D4ED43B"/>
    <w:multiLevelType w:val="hybridMultilevel"/>
    <w:lvl w:ilvl="0">
      <w:lvlJc w:val="left"/>
      <w:lvlText w:val="%1."/>
      <w:numFmt w:val="decimal"/>
      <w:start w:val="6"/>
    </w:lvl>
  </w:abstractNum>
  <w:abstractNum w:abstractNumId="38">
    <w:nsid w:val="725A06FB"/>
    <w:multiLevelType w:val="hybridMultilevel"/>
    <w:lvl w:ilvl="0">
      <w:lvlJc w:val="left"/>
      <w:lvlText w:val="%1."/>
      <w:numFmt w:val="decimal"/>
      <w:start w:val="7"/>
    </w:lvl>
  </w:abstractNum>
  <w:abstractNum w:abstractNumId="39">
    <w:nsid w:val="2CD89A32"/>
    <w:multiLevelType w:val="hybridMultilevel"/>
    <w:lvl w:ilvl="0">
      <w:lvlJc w:val="left"/>
      <w:lvlText w:val="%1."/>
      <w:numFmt w:val="decimal"/>
      <w:start w:val="8"/>
    </w:lvl>
  </w:abstractNum>
  <w:abstractNum w:abstractNumId="40">
    <w:nsid w:val="57E4CCAF"/>
    <w:multiLevelType w:val="hybridMultilevel"/>
    <w:lvl w:ilvl="0">
      <w:lvlJc w:val="left"/>
      <w:lvlText w:val="%1."/>
      <w:numFmt w:val="decimal"/>
      <w:start w:val="11"/>
    </w:lvl>
  </w:abstractNum>
  <w:abstractNum w:abstractNumId="41">
    <w:nsid w:val="7A6D8D3C"/>
    <w:multiLevelType w:val="hybridMultilevel"/>
    <w:lvl w:ilvl="0">
      <w:lvlJc w:val="left"/>
      <w:lvlText w:val="%1."/>
      <w:numFmt w:val="decimal"/>
      <w:start w:val="14"/>
    </w:lvl>
  </w:abstractNum>
  <w:abstractNum w:abstractNumId="42">
    <w:nsid w:val="4B588F54"/>
    <w:multiLevelType w:val="hybridMultilevel"/>
    <w:lvl w:ilvl="0">
      <w:lvlJc w:val="left"/>
      <w:lvlText w:val="%1."/>
      <w:numFmt w:val="decimal"/>
      <w:start w:val="16"/>
    </w:lvl>
  </w:abstractNum>
  <w:abstractNum w:abstractNumId="43">
    <w:nsid w:val="542289EC"/>
    <w:multiLevelType w:val="hybridMultilevel"/>
    <w:lvl w:ilvl="0">
      <w:lvlJc w:val="left"/>
      <w:lvlText w:val="%1."/>
      <w:numFmt w:val="decimal"/>
      <w:start w:val="23"/>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jpeg"/><Relationship Id="rId133" Type="http://schemas.openxmlformats.org/officeDocument/2006/relationships/image" Target="media/image122.jpeg"/><Relationship Id="rId134" Type="http://schemas.openxmlformats.org/officeDocument/2006/relationships/image" Target="media/image123.jpeg"/><Relationship Id="rId135" Type="http://schemas.openxmlformats.org/officeDocument/2006/relationships/image" Target="media/image124.jpeg"/><Relationship Id="rId136" Type="http://schemas.openxmlformats.org/officeDocument/2006/relationships/image" Target="media/image125.jpe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23" Type="http://schemas.openxmlformats.org/officeDocument/2006/relationships/hyperlink" Target="https://www.sec.gov/Archives/edgar/data/1831915/000119312521225716/d183956dex31.htm" TargetMode="External"/><Relationship Id="rId124" Type="http://schemas.openxmlformats.org/officeDocument/2006/relationships/hyperlink" Target="https://www.sec.gov/Archives/edgar/data/1831915/000119312526407330/d94407dex31.htm" TargetMode="External"/><Relationship Id="rId125" Type="http://schemas.openxmlformats.org/officeDocument/2006/relationships/hyperlink" Target="https://www.sec.gov/Archives/edgar/data/1831915/000119312521225716/d183956dex32.htm" TargetMode="External"/><Relationship Id="rId126" Type="http://schemas.openxmlformats.org/officeDocument/2006/relationships/hyperlink" Target="https://www.sec.gov/Archives/edgar/data/1831915/000162828026053496/exhibit101-severance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2026-11-04T16:15:14Z</dcterms:created>
  <dcterms:modified xsi:type="dcterms:W3CDTF">2026-11-04T16:15:14Z</dcterms:modified>
</cp:coreProperties>
</file>