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640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64083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McCombe William 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CYTEK BIOSCIENCES,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47215 LAKEVIEW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Cytek Biosciences,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CTKB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26"/>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94538</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jc w:val="center"/>
              <w:ind w:left="588"/>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05/18/2026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center"/>
              <w:ind w:left="111"/>
              <w:spacing w:after="0"/>
              <w:rPr>
                <w:sz w:val="20"/>
                <w:szCs w:val="20"/>
                <w:color w:val="auto"/>
              </w:rPr>
            </w:pPr>
            <w:r>
              <w:rPr>
                <w:rFonts w:ascii="Times New Roman" w:cs="Times New Roman" w:eastAsia="Times New Roman" w:hAnsi="Times New Roman"/>
                <w:sz w:val="17"/>
                <w:szCs w:val="17"/>
                <w:color w:val="0000FF"/>
                <w:w w:val="93"/>
              </w:rPr>
              <w:t>6,320</w:t>
            </w:r>
          </w:p>
        </w:tc>
        <w:tc>
          <w:tcPr>
            <w:tcW w:w="8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101,007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05/18/2026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left="31"/>
              <w:spacing w:after="0"/>
              <w:rPr>
                <w:sz w:val="20"/>
                <w:szCs w:val="20"/>
                <w:color w:val="auto"/>
              </w:rPr>
            </w:pPr>
            <w:r>
              <w:rPr>
                <w:rFonts w:ascii="Times New Roman" w:cs="Times New Roman" w:eastAsia="Times New Roman" w:hAnsi="Times New Roman"/>
                <w:sz w:val="17"/>
                <w:szCs w:val="17"/>
                <w:color w:val="0000FF"/>
                <w:w w:val="95"/>
              </w:rPr>
              <w:t>2,268</w:t>
            </w:r>
            <w:r>
              <w:rPr>
                <w:rFonts w:ascii="Times New Roman" w:cs="Times New Roman" w:eastAsia="Times New Roman" w:hAnsi="Times New Roman"/>
                <w:sz w:val="21"/>
                <w:szCs w:val="21"/>
                <w:color w:val="008000"/>
                <w:w w:val="95"/>
                <w:vertAlign w:val="superscript"/>
              </w:rPr>
              <w:t>(2)</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9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3.55</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98,739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05/18/2026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center"/>
              <w:ind w:left="111"/>
              <w:spacing w:after="0"/>
              <w:rPr>
                <w:sz w:val="20"/>
                <w:szCs w:val="20"/>
                <w:color w:val="auto"/>
              </w:rPr>
            </w:pPr>
            <w:r>
              <w:rPr>
                <w:rFonts w:ascii="Times New Roman" w:cs="Times New Roman" w:eastAsia="Times New Roman" w:hAnsi="Times New Roman"/>
                <w:sz w:val="17"/>
                <w:szCs w:val="17"/>
                <w:color w:val="0000FF"/>
                <w:w w:val="93"/>
              </w:rPr>
              <w:t>8,700</w:t>
            </w:r>
          </w:p>
        </w:tc>
        <w:tc>
          <w:tcPr>
            <w:tcW w:w="8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107,439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05/18/2026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left="31"/>
              <w:spacing w:after="0"/>
              <w:rPr>
                <w:sz w:val="20"/>
                <w:szCs w:val="20"/>
                <w:color w:val="auto"/>
              </w:rPr>
            </w:pPr>
            <w:r>
              <w:rPr>
                <w:rFonts w:ascii="Times New Roman" w:cs="Times New Roman" w:eastAsia="Times New Roman" w:hAnsi="Times New Roman"/>
                <w:sz w:val="17"/>
                <w:szCs w:val="17"/>
                <w:color w:val="0000FF"/>
                <w:w w:val="95"/>
              </w:rPr>
              <w:t>3,122</w:t>
            </w:r>
            <w:r>
              <w:rPr>
                <w:rFonts w:ascii="Times New Roman" w:cs="Times New Roman" w:eastAsia="Times New Roman" w:hAnsi="Times New Roman"/>
                <w:sz w:val="21"/>
                <w:szCs w:val="21"/>
                <w:color w:val="008000"/>
                <w:w w:val="95"/>
                <w:vertAlign w:val="superscript"/>
              </w:rPr>
              <w:t>(2)</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9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3.55</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104,317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05/18/2026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60" w:type="dxa"/>
            <w:vAlign w:val="bottom"/>
            <w:gridSpan w:val="2"/>
          </w:tcPr>
          <w:p>
            <w:pPr>
              <w:jc w:val="center"/>
              <w:ind w:left="31"/>
              <w:spacing w:after="0"/>
              <w:rPr>
                <w:sz w:val="20"/>
                <w:szCs w:val="20"/>
                <w:color w:val="auto"/>
              </w:rPr>
            </w:pPr>
            <w:r>
              <w:rPr>
                <w:rFonts w:ascii="Times New Roman" w:cs="Times New Roman" w:eastAsia="Times New Roman" w:hAnsi="Times New Roman"/>
                <w:sz w:val="17"/>
                <w:szCs w:val="17"/>
                <w:color w:val="0000FF"/>
              </w:rPr>
              <w:t>10,699</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115,016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05/18/2026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left="31"/>
              <w:spacing w:after="0"/>
              <w:rPr>
                <w:sz w:val="20"/>
                <w:szCs w:val="20"/>
                <w:color w:val="auto"/>
              </w:rPr>
            </w:pPr>
            <w:r>
              <w:rPr>
                <w:rFonts w:ascii="Times New Roman" w:cs="Times New Roman" w:eastAsia="Times New Roman" w:hAnsi="Times New Roman"/>
                <w:sz w:val="17"/>
                <w:szCs w:val="17"/>
                <w:color w:val="0000FF"/>
                <w:w w:val="95"/>
              </w:rPr>
              <w:t>3,839</w:t>
            </w:r>
            <w:r>
              <w:rPr>
                <w:rFonts w:ascii="Times New Roman" w:cs="Times New Roman" w:eastAsia="Times New Roman" w:hAnsi="Times New Roman"/>
                <w:sz w:val="21"/>
                <w:szCs w:val="21"/>
                <w:color w:val="008000"/>
                <w:w w:val="95"/>
                <w:vertAlign w:val="superscript"/>
              </w:rPr>
              <w:t>(2)</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9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3.55</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111,177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6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29"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6,320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05/18/2026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vMerge w:val="restart"/>
          </w:tcPr>
          <w:p>
            <w:pPr>
              <w:jc w:val="center"/>
              <w:ind w:left="281"/>
              <w:spacing w:after="0" w:line="142" w:lineRule="exact"/>
              <w:rPr>
                <w:sz w:val="20"/>
                <w:szCs w:val="20"/>
                <w:color w:val="auto"/>
              </w:rPr>
            </w:pPr>
            <w:r>
              <w:rPr>
                <w:rFonts w:ascii="Times New Roman" w:cs="Times New Roman" w:eastAsia="Times New Roman" w:hAnsi="Times New Roman"/>
                <w:sz w:val="13"/>
                <w:szCs w:val="13"/>
                <w:color w:val="0000FF"/>
              </w:rPr>
              <w:t>6,320</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w w:val="94"/>
              </w:rPr>
              <w:t>50,569</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8,700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05/18/2026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vMerge w:val="restart"/>
          </w:tcPr>
          <w:p>
            <w:pPr>
              <w:jc w:val="center"/>
              <w:ind w:left="281"/>
              <w:spacing w:after="0" w:line="142" w:lineRule="exact"/>
              <w:rPr>
                <w:sz w:val="20"/>
                <w:szCs w:val="20"/>
                <w:color w:val="auto"/>
              </w:rPr>
            </w:pPr>
            <w:r>
              <w:rPr>
                <w:rFonts w:ascii="Times New Roman" w:cs="Times New Roman" w:eastAsia="Times New Roman" w:hAnsi="Times New Roman"/>
                <w:sz w:val="13"/>
                <w:szCs w:val="13"/>
                <w:color w:val="0000FF"/>
              </w:rPr>
              <w:t>8,700</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center"/>
              <w:ind w:right="2"/>
              <w:spacing w:after="0" w:line="142" w:lineRule="exact"/>
              <w:rPr>
                <w:sz w:val="20"/>
                <w:szCs w:val="20"/>
                <w:color w:val="auto"/>
              </w:rPr>
            </w:pPr>
            <w:r>
              <w:rPr>
                <w:rFonts w:ascii="Times New Roman" w:cs="Times New Roman" w:eastAsia="Times New Roman" w:hAnsi="Times New Roman"/>
                <w:sz w:val="13"/>
                <w:szCs w:val="13"/>
                <w:color w:val="0000FF"/>
                <w:w w:val="99"/>
              </w:rPr>
              <w:t>147,913</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10,699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05/18/2026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jc w:val="center"/>
              <w:ind w:left="281"/>
              <w:spacing w:after="0" w:line="129" w:lineRule="exact"/>
              <w:rPr>
                <w:sz w:val="20"/>
                <w:szCs w:val="20"/>
                <w:color w:val="auto"/>
              </w:rPr>
            </w:pPr>
            <w:r>
              <w:rPr>
                <w:rFonts w:ascii="Times New Roman" w:cs="Times New Roman" w:eastAsia="Times New Roman" w:hAnsi="Times New Roman"/>
                <w:sz w:val="13"/>
                <w:szCs w:val="13"/>
                <w:color w:val="0000FF"/>
                <w:w w:val="94"/>
              </w:rPr>
              <w:t>10,699</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ind w:right="2"/>
              <w:spacing w:after="0" w:line="129" w:lineRule="exact"/>
              <w:rPr>
                <w:sz w:val="20"/>
                <w:szCs w:val="20"/>
                <w:color w:val="auto"/>
              </w:rPr>
            </w:pPr>
            <w:r>
              <w:rPr>
                <w:rFonts w:ascii="Times New Roman" w:cs="Times New Roman" w:eastAsia="Times New Roman" w:hAnsi="Times New Roman"/>
                <w:sz w:val="13"/>
                <w:szCs w:val="13"/>
                <w:color w:val="0000FF"/>
                <w:w w:val="99"/>
              </w:rPr>
              <w:t>246,091</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Award")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withheld by and surrendered to the Issuer on May 18, 2026, to satisfy tax withholding obligations that arose in connection with the vesting of the RSU Award.</w:t>
      </w:r>
    </w:p>
    <w:p>
      <w:pPr>
        <w:spacing w:after="0" w:line="44" w:lineRule="exact"/>
        <w:rPr>
          <w:rFonts w:ascii="Times New Roman" w:cs="Times New Roman" w:eastAsia="Times New Roman" w:hAnsi="Times New Roman"/>
          <w:sz w:val="13"/>
          <w:szCs w:val="13"/>
          <w:color w:val="008000"/>
        </w:rPr>
      </w:pPr>
    </w:p>
    <w:p>
      <w:pPr>
        <w:jc w:val="both"/>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RSU Award shall vest over 4 years with 12/48 of the total shares underlying the RSU Award vesting on May 18, 2025; 3/48 of the total shares underlying the RSU Award vesting on August 18, 2025 and each August 18 thereafter; 3/48 of the total shares underlying the RSU Award vesting on November 18, 2025 and each November 18 thereafter; and 3/48 of the total shares underlying the RSU Award vesting on March 10, 2026 and each March 10 thereafter; and 3/48 of the total shares underlying the RSU Award vesting on May 18, 2026 and each May 18 thereafter.</w:t>
      </w:r>
    </w:p>
    <w:p>
      <w:pPr>
        <w:spacing w:after="0" w:line="25" w:lineRule="exact"/>
        <w:rPr>
          <w:rFonts w:ascii="Times New Roman" w:cs="Times New Roman" w:eastAsia="Times New Roman" w:hAnsi="Times New Roman"/>
          <w:sz w:val="13"/>
          <w:szCs w:val="13"/>
          <w:color w:val="008000"/>
        </w:rPr>
      </w:pPr>
    </w:p>
    <w:p>
      <w:pPr>
        <w:jc w:val="both"/>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RSU Award shall vest over 4 years with 2/48 of the total shares underlying the RSU Award vesting on May 18, 2025 and each May 18 thereafter; 3/48 of the total shares underlying the RSU Award vesting on August 18, 2025 and each August 18 thereafter; 3/48 of the total shares underlying the RSU Award vesting on November 18, 2025 and each November 18 thereafter; and 4/48 of the total shares underlying the RSU Award vesting on March 10, 2026 and each March 10 thereafter, until fully vested.</w:t>
      </w:r>
    </w:p>
    <w:p>
      <w:pPr>
        <w:spacing w:after="0" w:line="25" w:lineRule="exact"/>
        <w:rPr>
          <w:rFonts w:ascii="Times New Roman" w:cs="Times New Roman" w:eastAsia="Times New Roman" w:hAnsi="Times New Roman"/>
          <w:sz w:val="13"/>
          <w:szCs w:val="13"/>
          <w:color w:val="008000"/>
        </w:rPr>
      </w:pPr>
    </w:p>
    <w:p>
      <w:pPr>
        <w:jc w:val="both"/>
        <w:ind w:left="40" w:right="2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RSU Award shall vest over 4 years with 2/48 of the total shares underlying the RSU Award vesting on May 18, 2026 and each May 18 thereafter; 3/48 of the total shares underlying the RSU Award vesting on August 18, 2026 and each August 18 thereafter; 3/48 of the total shares underlying the RSU Award vesting on November 18, 2026 and each November 18 thereafter; and 4/48 of the total shares underlying the RSU Award vesting on March 10, 2027 and each March 10 thereafter, until fully vested.</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/s/ Valerie Barnett, Attorney-in- </w:t>
      </w:r>
      <w:r>
        <w:rPr>
          <w:rFonts w:ascii="Times New Roman" w:cs="Times New Roman" w:eastAsia="Times New Roman" w:hAnsi="Times New Roman"/>
          <w:sz w:val="32"/>
          <w:szCs w:val="32"/>
          <w:color w:val="0000FF"/>
          <w:vertAlign w:val="subscript"/>
        </w:rPr>
        <w:t>05/20/2026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7" w:right="359" w:bottom="0" w:gutter="0" w:footer="0" w:header="0"/>
          <w:type w:val="continuous"/>
        </w:sectPr>
      </w:pPr>
    </w:p>
    <w:bookmarkStart w:id="1" w:name="page2"/>
    <w:bookmarkEnd w:id="1"/>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8824" TargetMode="External"/><Relationship Id="rId14" Type="http://schemas.openxmlformats.org/officeDocument/2006/relationships/hyperlink" Target="http://www.sec.gov/cgi-bin/browse-edgar?action=getcompany&amp;CIK=00018319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2026-05-20T16:49:36Z</dcterms:created>
  <dcterms:modified xsi:type="dcterms:W3CDTF">2026-05-20T16:49:36Z</dcterms:modified>
</cp:coreProperties>
</file>